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E670A9" w14:textId="77777777" w:rsidR="00AE176E" w:rsidRPr="00940422" w:rsidRDefault="00AE176E" w:rsidP="00480F2D">
      <w:bookmarkStart w:id="0" w:name="_Toc496538962"/>
      <w:bookmarkStart w:id="1" w:name="_Toc515347396"/>
      <w:bookmarkStart w:id="2" w:name="_GoBack"/>
      <w:bookmarkEnd w:id="2"/>
    </w:p>
    <w:p w14:paraId="757D00BF" w14:textId="589FF4C6" w:rsidR="00AE176E" w:rsidRPr="006C3C6C" w:rsidRDefault="00AE176E" w:rsidP="00480F2D">
      <w:pPr>
        <w:pStyle w:val="Nagwek1"/>
      </w:pPr>
      <w:r w:rsidRPr="006C3C6C">
        <w:t>OPIS OGÓLNY PRZEDMIOTU ZAMÓWIENIA</w:t>
      </w:r>
    </w:p>
    <w:p w14:paraId="57929B3E" w14:textId="77777777" w:rsidR="00AE176E" w:rsidRPr="00940422" w:rsidRDefault="00AE176E" w:rsidP="00480F2D"/>
    <w:p w14:paraId="1BD6993B" w14:textId="6AF81298" w:rsidR="00B8046D" w:rsidRDefault="00DE638F" w:rsidP="00480F2D">
      <w:pPr>
        <w:rPr>
          <w:b/>
        </w:rPr>
      </w:pPr>
      <w:r w:rsidRPr="00940422">
        <w:t>Przedmiot zamówienia obejmować będzie w</w:t>
      </w:r>
      <w:r w:rsidR="00AE176E" w:rsidRPr="001C28B5">
        <w:t>ykon</w:t>
      </w:r>
      <w:r w:rsidR="00A07432">
        <w:t xml:space="preserve">anie </w:t>
      </w:r>
      <w:r w:rsidR="00DA3729">
        <w:t xml:space="preserve">projektu wykonawczego </w:t>
      </w:r>
      <w:r w:rsidR="00B8046D">
        <w:t>na podstawie posiadanego projektu budowlanego</w:t>
      </w:r>
      <w:r w:rsidR="007955E7">
        <w:rPr>
          <w:b/>
        </w:rPr>
        <w:t>,</w:t>
      </w:r>
      <w:r w:rsidR="00B8046D">
        <w:t xml:space="preserve"> oraz wydanej decyzji nr 2175/2019 z dnia 14.10.2019 r. </w:t>
      </w:r>
      <w:r w:rsidR="006523F6">
        <w:br/>
      </w:r>
      <w:r w:rsidR="00B8046D">
        <w:t>o zezwoleniu na realizację inwestycji drogowej (ZRID)</w:t>
      </w:r>
      <w:r w:rsidR="006523F6">
        <w:t>.</w:t>
      </w:r>
    </w:p>
    <w:p w14:paraId="55013DED" w14:textId="77777777" w:rsidR="00480F2D" w:rsidRDefault="00480F2D" w:rsidP="00480F2D"/>
    <w:p w14:paraId="413BEC5E" w14:textId="60DED3D8" w:rsidR="00DA3729" w:rsidRDefault="006523F6" w:rsidP="00480F2D">
      <w:pPr>
        <w:rPr>
          <w:b/>
        </w:rPr>
      </w:pPr>
      <w:r>
        <w:t xml:space="preserve">Do obowiązków Wykonawcy należeć będzie również wykonanie </w:t>
      </w:r>
      <w:r w:rsidR="00A07432">
        <w:t>i zatwierdzeni</w:t>
      </w:r>
      <w:r w:rsidR="00B8046D">
        <w:t>e</w:t>
      </w:r>
      <w:r w:rsidR="009806F0">
        <w:t xml:space="preserve"> </w:t>
      </w:r>
      <w:r>
        <w:t>przez</w:t>
      </w:r>
      <w:r w:rsidR="009806F0">
        <w:t xml:space="preserve"> </w:t>
      </w:r>
      <w:r w:rsidR="007955E7" w:rsidRPr="00834AA7">
        <w:rPr>
          <w:bCs/>
        </w:rPr>
        <w:t>M</w:t>
      </w:r>
      <w:r w:rsidR="009806F0" w:rsidRPr="00834AA7">
        <w:rPr>
          <w:bCs/>
        </w:rPr>
        <w:t xml:space="preserve">iejskiego </w:t>
      </w:r>
      <w:r w:rsidR="007955E7" w:rsidRPr="00834AA7">
        <w:rPr>
          <w:bCs/>
        </w:rPr>
        <w:t>I</w:t>
      </w:r>
      <w:r w:rsidR="009806F0" w:rsidRPr="00834AA7">
        <w:rPr>
          <w:bCs/>
        </w:rPr>
        <w:t xml:space="preserve">nżyniera </w:t>
      </w:r>
      <w:r w:rsidR="007955E7" w:rsidRPr="00834AA7">
        <w:rPr>
          <w:bCs/>
        </w:rPr>
        <w:t>R</w:t>
      </w:r>
      <w:r w:rsidR="009806F0" w:rsidRPr="00834AA7">
        <w:rPr>
          <w:bCs/>
        </w:rPr>
        <w:t>uchu</w:t>
      </w:r>
      <w:r w:rsidR="009806F0">
        <w:t xml:space="preserve"> (MIR)</w:t>
      </w:r>
      <w:r w:rsidR="0002430F">
        <w:t xml:space="preserve"> </w:t>
      </w:r>
      <w:r w:rsidR="00A07432">
        <w:t>c</w:t>
      </w:r>
      <w:r w:rsidR="0002430F">
        <w:t>zasowej organizacji ruchu</w:t>
      </w:r>
      <w:r w:rsidR="00A07432">
        <w:t xml:space="preserve"> (COR)</w:t>
      </w:r>
      <w:r w:rsidR="00B8046D">
        <w:t xml:space="preserve"> dla reali</w:t>
      </w:r>
      <w:r w:rsidR="00365EF0">
        <w:t>z</w:t>
      </w:r>
      <w:r w:rsidR="00B8046D">
        <w:t>acji robót budowlanych</w:t>
      </w:r>
      <w:r>
        <w:t>, jak również</w:t>
      </w:r>
      <w:r w:rsidR="0002430F">
        <w:t xml:space="preserve"> </w:t>
      </w:r>
      <w:r>
        <w:t xml:space="preserve">aktualizacja kosztorysu inwestorskiego, w tym konkretyzacja jego wartości </w:t>
      </w:r>
      <w:r w:rsidR="00DA3729">
        <w:t>kosztorysu</w:t>
      </w:r>
      <w:r>
        <w:t xml:space="preserve"> oraz w</w:t>
      </w:r>
      <w:r w:rsidR="00B8046D">
        <w:t>ykonanie badań oraz opracowanie dokumentacji geologicznej</w:t>
      </w:r>
      <w:r>
        <w:t>.</w:t>
      </w:r>
      <w:r w:rsidR="00DA3729">
        <w:t xml:space="preserve"> </w:t>
      </w:r>
    </w:p>
    <w:p w14:paraId="0C644699" w14:textId="77777777" w:rsidR="00AE176E" w:rsidRPr="001C28B5" w:rsidRDefault="00AE176E" w:rsidP="00480F2D"/>
    <w:p w14:paraId="7DF507F0" w14:textId="154D628F" w:rsidR="00AE176E" w:rsidRPr="001C28B5" w:rsidRDefault="00AE176E" w:rsidP="00480F2D">
      <w:pPr>
        <w:rPr>
          <w:b/>
        </w:rPr>
      </w:pPr>
      <w:r w:rsidRPr="001C28B5">
        <w:t>Lokalizacja: Poznań</w:t>
      </w:r>
      <w:r w:rsidR="006523F6">
        <w:t>,</w:t>
      </w:r>
      <w:r w:rsidRPr="001C28B5">
        <w:t xml:space="preserve"> </w:t>
      </w:r>
      <w:r w:rsidR="00DA3729">
        <w:t xml:space="preserve">ulica </w:t>
      </w:r>
      <w:proofErr w:type="spellStart"/>
      <w:r w:rsidR="00DA3729">
        <w:t>Morasko</w:t>
      </w:r>
      <w:proofErr w:type="spellEnd"/>
      <w:r w:rsidR="00DA3729">
        <w:t xml:space="preserve"> </w:t>
      </w:r>
      <w:r w:rsidR="00B8046D">
        <w:t xml:space="preserve">na odcinku </w:t>
      </w:r>
      <w:r w:rsidR="00DA3729">
        <w:t xml:space="preserve">od skrzyżowania ulicy Szklarniowej do ulicy Meteorytowej </w:t>
      </w:r>
    </w:p>
    <w:p w14:paraId="3C3E7068" w14:textId="77777777" w:rsidR="00AE176E" w:rsidRPr="001C28B5" w:rsidRDefault="00AE176E" w:rsidP="00480F2D"/>
    <w:p w14:paraId="426B271D" w14:textId="77777777" w:rsidR="00AE176E" w:rsidRPr="001C28B5" w:rsidRDefault="00AE176E" w:rsidP="00480F2D">
      <w:pPr>
        <w:rPr>
          <w:b/>
        </w:rPr>
      </w:pPr>
      <w:r w:rsidRPr="001C28B5">
        <w:t xml:space="preserve">ZAMAWIAJĄCY / Dysponent </w:t>
      </w:r>
    </w:p>
    <w:p w14:paraId="23C85B81" w14:textId="77777777" w:rsidR="00AE176E" w:rsidRPr="001C28B5" w:rsidRDefault="00AE176E" w:rsidP="00480F2D">
      <w:pPr>
        <w:rPr>
          <w:rFonts w:eastAsiaTheme="minorHAnsi" w:cstheme="minorBidi"/>
          <w:b/>
        </w:rPr>
      </w:pPr>
      <w:r w:rsidRPr="001C28B5">
        <w:t xml:space="preserve">Miasto Poznań </w:t>
      </w:r>
    </w:p>
    <w:p w14:paraId="586B20C7" w14:textId="77777777" w:rsidR="00AE176E" w:rsidRPr="001C28B5" w:rsidRDefault="00AE176E" w:rsidP="00480F2D">
      <w:pPr>
        <w:rPr>
          <w:b/>
        </w:rPr>
      </w:pPr>
      <w:r w:rsidRPr="001C28B5">
        <w:t xml:space="preserve">Zarząd Dróg Miejskich </w:t>
      </w:r>
    </w:p>
    <w:p w14:paraId="20D565FC" w14:textId="77777777" w:rsidR="00AE176E" w:rsidRPr="001C28B5" w:rsidRDefault="00AE176E" w:rsidP="00480F2D">
      <w:pPr>
        <w:rPr>
          <w:b/>
        </w:rPr>
      </w:pPr>
      <w:r w:rsidRPr="001C28B5">
        <w:t>Ul. Wilczak 17</w:t>
      </w:r>
    </w:p>
    <w:p w14:paraId="35B63968" w14:textId="6E03B8FE" w:rsidR="00AE176E" w:rsidRPr="001C28B5" w:rsidRDefault="00DE638F" w:rsidP="00480F2D">
      <w:pPr>
        <w:rPr>
          <w:b/>
        </w:rPr>
      </w:pPr>
      <w:r w:rsidRPr="001C28B5">
        <w:t xml:space="preserve">61 – 623 </w:t>
      </w:r>
      <w:r w:rsidR="00AE176E" w:rsidRPr="001C28B5">
        <w:t>Poznań</w:t>
      </w:r>
    </w:p>
    <w:p w14:paraId="2AC521D9" w14:textId="77777777" w:rsidR="00AE176E" w:rsidRPr="001C28B5" w:rsidRDefault="00AE176E" w:rsidP="00480F2D"/>
    <w:p w14:paraId="67B05E37" w14:textId="77777777" w:rsidR="00AE176E" w:rsidRPr="001C28B5" w:rsidRDefault="00AE176E" w:rsidP="00480F2D">
      <w:pPr>
        <w:rPr>
          <w:b/>
        </w:rPr>
      </w:pPr>
      <w:r w:rsidRPr="001C28B5">
        <w:t xml:space="preserve">Inwestor Zastępczy </w:t>
      </w:r>
    </w:p>
    <w:p w14:paraId="741B62C2" w14:textId="77777777" w:rsidR="00AE176E" w:rsidRPr="001C28B5" w:rsidRDefault="00AE176E" w:rsidP="00480F2D">
      <w:pPr>
        <w:rPr>
          <w:b/>
        </w:rPr>
      </w:pPr>
      <w:r w:rsidRPr="001C28B5">
        <w:t>Poznańskie Inwestycje Miejskie Sp. Z.o.o.</w:t>
      </w:r>
    </w:p>
    <w:p w14:paraId="59A89334" w14:textId="77777777" w:rsidR="00AE176E" w:rsidRPr="001C28B5" w:rsidRDefault="00AE176E" w:rsidP="00480F2D">
      <w:pPr>
        <w:rPr>
          <w:b/>
        </w:rPr>
      </w:pPr>
      <w:r w:rsidRPr="001C28B5">
        <w:t xml:space="preserve">Pl. Wiosny Ludów 2 </w:t>
      </w:r>
    </w:p>
    <w:p w14:paraId="33240CEE" w14:textId="77777777" w:rsidR="00AE176E" w:rsidRPr="001C28B5" w:rsidRDefault="00AE176E" w:rsidP="00480F2D">
      <w:pPr>
        <w:rPr>
          <w:b/>
        </w:rPr>
      </w:pPr>
      <w:r w:rsidRPr="001C28B5">
        <w:t>61-831 Poznań</w:t>
      </w:r>
    </w:p>
    <w:p w14:paraId="1FDCD48C" w14:textId="77777777" w:rsidR="00DE638F" w:rsidRPr="00940422" w:rsidRDefault="00DE638F" w:rsidP="00480F2D">
      <w:pPr>
        <w:pStyle w:val="Akapitzlist"/>
      </w:pPr>
    </w:p>
    <w:bookmarkEnd w:id="0"/>
    <w:bookmarkEnd w:id="1"/>
    <w:p w14:paraId="65B66FF2" w14:textId="601AEDF6" w:rsidR="00AE176E" w:rsidRPr="006C3C6C" w:rsidRDefault="00AE176E" w:rsidP="00480F2D">
      <w:pPr>
        <w:pStyle w:val="Nagwek1"/>
      </w:pPr>
      <w:r w:rsidRPr="006C3C6C">
        <w:t>PODSTAWA OPRACOWANIA</w:t>
      </w:r>
    </w:p>
    <w:p w14:paraId="22F19180" w14:textId="49E97237" w:rsidR="00AE176E" w:rsidRPr="00940422" w:rsidRDefault="00AE176E">
      <w:pPr>
        <w:pStyle w:val="Nagwek2"/>
        <w:rPr>
          <w:lang w:val="pl-PL"/>
        </w:rPr>
      </w:pPr>
      <w:bookmarkStart w:id="3" w:name="_Toc310512364"/>
      <w:bookmarkStart w:id="4" w:name="_Toc336348228"/>
      <w:bookmarkStart w:id="5" w:name="_Toc496538963"/>
      <w:bookmarkStart w:id="6" w:name="_Toc515347397"/>
      <w:r w:rsidRPr="00940422">
        <w:t>Dokumenty wyjściowe</w:t>
      </w:r>
      <w:bookmarkEnd w:id="3"/>
      <w:bookmarkEnd w:id="4"/>
      <w:bookmarkEnd w:id="5"/>
      <w:bookmarkEnd w:id="6"/>
      <w:r w:rsidR="00DE638F" w:rsidRPr="00940422">
        <w:rPr>
          <w:lang w:val="pl-PL"/>
        </w:rPr>
        <w:t>.</w:t>
      </w:r>
    </w:p>
    <w:p w14:paraId="41EA71E4" w14:textId="77777777" w:rsidR="00DE638F" w:rsidRPr="00940422" w:rsidRDefault="00DE638F" w:rsidP="00480F2D"/>
    <w:p w14:paraId="5939C09D" w14:textId="252011CD" w:rsidR="00DA3729" w:rsidRDefault="00AE176E" w:rsidP="00480F2D">
      <w:pPr>
        <w:rPr>
          <w:b/>
        </w:rPr>
      </w:pPr>
      <w:r w:rsidRPr="001C28B5">
        <w:t>W roku 201</w:t>
      </w:r>
      <w:r w:rsidR="00DA3729">
        <w:t>6</w:t>
      </w:r>
      <w:r w:rsidRPr="001C28B5">
        <w:t xml:space="preserve"> Dysponent </w:t>
      </w:r>
      <w:r w:rsidR="009806F0">
        <w:t>(</w:t>
      </w:r>
      <w:r w:rsidR="00DA3729">
        <w:t>ZDM</w:t>
      </w:r>
      <w:r w:rsidR="009806F0">
        <w:t>)</w:t>
      </w:r>
      <w:r w:rsidR="00DA3729">
        <w:t xml:space="preserve"> </w:t>
      </w:r>
      <w:r w:rsidRPr="001C28B5">
        <w:t>zawarł umowę</w:t>
      </w:r>
      <w:r w:rsidR="00DA3729">
        <w:t xml:space="preserve"> z projektantem </w:t>
      </w:r>
      <w:r w:rsidRPr="001C28B5">
        <w:t>na</w:t>
      </w:r>
      <w:r w:rsidR="00DA3729">
        <w:t xml:space="preserve"> </w:t>
      </w:r>
      <w:r w:rsidR="00DA3729" w:rsidRPr="00DA3729">
        <w:t>„</w:t>
      </w:r>
      <w:r w:rsidRPr="00DA3729">
        <w:t xml:space="preserve">opracowanie </w:t>
      </w:r>
      <w:r w:rsidR="00DA3729" w:rsidRPr="00DA3729">
        <w:t>projektu chodnika wzdłuż ul</w:t>
      </w:r>
      <w:r w:rsidR="00DA3729">
        <w:t xml:space="preserve">. </w:t>
      </w:r>
      <w:proofErr w:type="spellStart"/>
      <w:r w:rsidR="00DA3729" w:rsidRPr="00DA3729">
        <w:t>Morasko</w:t>
      </w:r>
      <w:proofErr w:type="spellEnd"/>
      <w:r w:rsidR="00DA3729" w:rsidRPr="00DA3729">
        <w:t xml:space="preserve"> na odcinku od ulicy Meteorytowej do ul. Szklarniowej w Poznaniu,</w:t>
      </w:r>
      <w:r w:rsidR="00DA3729">
        <w:t xml:space="preserve"> </w:t>
      </w:r>
      <w:r w:rsidR="00DA3729" w:rsidRPr="00DA3729">
        <w:t xml:space="preserve">zgodnie </w:t>
      </w:r>
      <w:r w:rsidR="006523F6">
        <w:br/>
      </w:r>
      <w:r w:rsidR="00DA3729" w:rsidRPr="00DA3729">
        <w:t>z zapytaniem ofertowym”</w:t>
      </w:r>
      <w:r w:rsidR="006523F6">
        <w:t>.</w:t>
      </w:r>
      <w:r w:rsidR="00DA3729">
        <w:t xml:space="preserve"> </w:t>
      </w:r>
      <w:r w:rsidR="0002430F">
        <w:t>W wyniku ww. zlecenia powstały poniższe opracowania</w:t>
      </w:r>
      <w:r w:rsidR="007955E7">
        <w:rPr>
          <w:b/>
        </w:rPr>
        <w:t>:</w:t>
      </w:r>
      <w:r w:rsidR="0002430F">
        <w:t xml:space="preserve"> </w:t>
      </w:r>
    </w:p>
    <w:p w14:paraId="2C208E0B" w14:textId="77F61130" w:rsidR="00DA3729" w:rsidRDefault="00DA3729" w:rsidP="00480F2D"/>
    <w:p w14:paraId="1665FCAA" w14:textId="2E8C29B4" w:rsidR="00DA3729" w:rsidRDefault="00DA3729" w:rsidP="00480F2D">
      <w:pPr>
        <w:pStyle w:val="Akapitzlist"/>
        <w:numPr>
          <w:ilvl w:val="0"/>
          <w:numId w:val="21"/>
        </w:numPr>
        <w:rPr>
          <w:b/>
        </w:rPr>
      </w:pPr>
      <w:r w:rsidRPr="00DA3729">
        <w:t xml:space="preserve">Decyzja nr 2175/2019 z dnia 14.10.2019 r. o zezwoleniu na realizacje inwestycji drogowej </w:t>
      </w:r>
    </w:p>
    <w:p w14:paraId="5228AA98" w14:textId="10C4E55E" w:rsidR="00DA3729" w:rsidRPr="00DA3729" w:rsidRDefault="00DA3729" w:rsidP="00480F2D">
      <w:pPr>
        <w:pStyle w:val="Akapitzlist"/>
        <w:numPr>
          <w:ilvl w:val="0"/>
          <w:numId w:val="21"/>
        </w:numPr>
        <w:rPr>
          <w:b/>
        </w:rPr>
      </w:pPr>
      <w:r>
        <w:t>Projekt budowlany TOM I Cześć 1 – projekt zagospodarowania terenu</w:t>
      </w:r>
    </w:p>
    <w:p w14:paraId="6CA00F74" w14:textId="44A5AA07" w:rsidR="00DA3729" w:rsidRPr="00DA3729" w:rsidRDefault="00DA3729" w:rsidP="00480F2D">
      <w:pPr>
        <w:pStyle w:val="Akapitzlist"/>
        <w:numPr>
          <w:ilvl w:val="0"/>
          <w:numId w:val="21"/>
        </w:numPr>
        <w:rPr>
          <w:b/>
        </w:rPr>
      </w:pPr>
      <w:r>
        <w:t>Projekt Architektoniczno- budowalny TOM</w:t>
      </w:r>
      <w:r w:rsidR="00C95FE9">
        <w:t xml:space="preserve"> </w:t>
      </w:r>
      <w:r>
        <w:t xml:space="preserve">I cześć 2 : Układ drogowy </w:t>
      </w:r>
    </w:p>
    <w:p w14:paraId="705946ED" w14:textId="6A66ED4C" w:rsidR="00DA3729" w:rsidRPr="00DA3729" w:rsidRDefault="00DA3729" w:rsidP="00480F2D">
      <w:pPr>
        <w:pStyle w:val="Akapitzlist"/>
        <w:numPr>
          <w:ilvl w:val="0"/>
          <w:numId w:val="21"/>
        </w:numPr>
        <w:rPr>
          <w:b/>
        </w:rPr>
      </w:pPr>
      <w:r>
        <w:t>Projekt budowlany 01. Branża elektryczna – przebudowa istniejącego oświetlenia ulicznego</w:t>
      </w:r>
    </w:p>
    <w:p w14:paraId="680546D7" w14:textId="5E733F59" w:rsidR="00DA3729" w:rsidRPr="00DA3729" w:rsidRDefault="00DA3729" w:rsidP="00480F2D">
      <w:pPr>
        <w:pStyle w:val="Akapitzlist"/>
        <w:numPr>
          <w:ilvl w:val="0"/>
          <w:numId w:val="21"/>
        </w:numPr>
        <w:rPr>
          <w:b/>
        </w:rPr>
      </w:pPr>
      <w:r>
        <w:t xml:space="preserve">Zatwierdzenie stałej organizacji ruchu nr TZ-I.7221.1.526.2017 z 14.12.2017 </w:t>
      </w:r>
    </w:p>
    <w:p w14:paraId="065217E5" w14:textId="0CEB0725" w:rsidR="00DA3729" w:rsidRPr="00DA3729" w:rsidRDefault="00DA3729" w:rsidP="00480F2D">
      <w:pPr>
        <w:pStyle w:val="Akapitzlist"/>
        <w:numPr>
          <w:ilvl w:val="0"/>
          <w:numId w:val="21"/>
        </w:numPr>
        <w:rPr>
          <w:b/>
        </w:rPr>
      </w:pPr>
      <w:r>
        <w:t>Inwentaryzacja dendrologiczna – Plan wycinki</w:t>
      </w:r>
    </w:p>
    <w:p w14:paraId="48541370" w14:textId="5A57B69E" w:rsidR="00905756" w:rsidRPr="00905756" w:rsidRDefault="00DA3729" w:rsidP="00480F2D">
      <w:pPr>
        <w:pStyle w:val="Akapitzlist"/>
        <w:numPr>
          <w:ilvl w:val="0"/>
          <w:numId w:val="21"/>
        </w:numPr>
        <w:rPr>
          <w:b/>
        </w:rPr>
      </w:pPr>
      <w:r>
        <w:t xml:space="preserve">Kanalizacja deszczowa </w:t>
      </w:r>
    </w:p>
    <w:p w14:paraId="479D0751" w14:textId="77777777" w:rsidR="00905756" w:rsidRPr="00905756" w:rsidRDefault="00905756" w:rsidP="00480F2D">
      <w:pPr>
        <w:pStyle w:val="Akapitzlist"/>
        <w:numPr>
          <w:ilvl w:val="0"/>
          <w:numId w:val="21"/>
        </w:numPr>
        <w:rPr>
          <w:b/>
        </w:rPr>
      </w:pPr>
      <w:r>
        <w:t>Układ Drogowy</w:t>
      </w:r>
    </w:p>
    <w:p w14:paraId="006D7658" w14:textId="77777777" w:rsidR="00905756" w:rsidRPr="00905756" w:rsidRDefault="00905756" w:rsidP="00480F2D">
      <w:pPr>
        <w:pStyle w:val="Akapitzlist"/>
        <w:numPr>
          <w:ilvl w:val="0"/>
          <w:numId w:val="21"/>
        </w:numPr>
        <w:rPr>
          <w:b/>
        </w:rPr>
      </w:pPr>
      <w:r>
        <w:t xml:space="preserve">Kosztorys inwestorski 01 układ drogowy </w:t>
      </w:r>
    </w:p>
    <w:p w14:paraId="1987D0DC" w14:textId="77777777" w:rsidR="00905756" w:rsidRPr="00905756" w:rsidRDefault="00905756" w:rsidP="00480F2D">
      <w:pPr>
        <w:pStyle w:val="Akapitzlist"/>
        <w:numPr>
          <w:ilvl w:val="0"/>
          <w:numId w:val="21"/>
        </w:numPr>
        <w:rPr>
          <w:b/>
        </w:rPr>
      </w:pPr>
      <w:r>
        <w:lastRenderedPageBreak/>
        <w:t>Kosztorys inwestorski 01 Branża elektryczna – przebudowa istniejącego oświetlenia ulicznego</w:t>
      </w:r>
    </w:p>
    <w:p w14:paraId="2F7DDA1A" w14:textId="45372A38" w:rsidR="00DA3729" w:rsidRPr="00DA3729" w:rsidRDefault="00905756" w:rsidP="00480F2D">
      <w:pPr>
        <w:pStyle w:val="Akapitzlist"/>
        <w:numPr>
          <w:ilvl w:val="0"/>
          <w:numId w:val="21"/>
        </w:numPr>
        <w:rPr>
          <w:b/>
        </w:rPr>
      </w:pPr>
      <w:r>
        <w:t xml:space="preserve">Kosztorys inwestorski – kanalizacja deszczowa </w:t>
      </w:r>
      <w:r w:rsidR="00DA3729">
        <w:t xml:space="preserve"> </w:t>
      </w:r>
    </w:p>
    <w:p w14:paraId="52A835E9" w14:textId="705B86B3" w:rsidR="00DA3729" w:rsidRDefault="00DA3729" w:rsidP="00480F2D">
      <w:r>
        <w:t xml:space="preserve"> </w:t>
      </w:r>
    </w:p>
    <w:p w14:paraId="28FE52FB" w14:textId="77777777" w:rsidR="00AE176E" w:rsidRPr="007D4EA6" w:rsidRDefault="00AE176E" w:rsidP="00480F2D">
      <w:bookmarkStart w:id="7" w:name="_Toc496538966"/>
      <w:bookmarkStart w:id="8" w:name="_Toc515347400"/>
    </w:p>
    <w:bookmarkEnd w:id="7"/>
    <w:bookmarkEnd w:id="8"/>
    <w:p w14:paraId="02C32BD4" w14:textId="42AB12E4" w:rsidR="00AE176E" w:rsidRPr="006C3C6C" w:rsidRDefault="00AE176E" w:rsidP="00480F2D">
      <w:pPr>
        <w:pStyle w:val="Nagwek1"/>
        <w:rPr>
          <w:rFonts w:eastAsia="CenturyGothic"/>
          <w:lang w:eastAsia="pl-PL"/>
        </w:rPr>
      </w:pPr>
      <w:r w:rsidRPr="006C3C6C">
        <w:t>INFORMACJE OGÓLNE</w:t>
      </w:r>
    </w:p>
    <w:p w14:paraId="14752415" w14:textId="08FBC58F" w:rsidR="00AE176E" w:rsidRPr="007955E7" w:rsidRDefault="00AE176E">
      <w:pPr>
        <w:pStyle w:val="Nagwek2"/>
      </w:pPr>
      <w:bookmarkStart w:id="9" w:name="_Toc496538967"/>
      <w:bookmarkStart w:id="10" w:name="_Toc515347401"/>
      <w:r w:rsidRPr="007955E7">
        <w:t>Przedmiot opracowania</w:t>
      </w:r>
      <w:bookmarkEnd w:id="9"/>
      <w:bookmarkEnd w:id="10"/>
      <w:r w:rsidRPr="007955E7">
        <w:rPr>
          <w:lang w:val="pl-PL"/>
        </w:rPr>
        <w:t>:</w:t>
      </w:r>
    </w:p>
    <w:p w14:paraId="4A1D8AA9" w14:textId="20458FB3" w:rsidR="008A5D5A" w:rsidRPr="007955E7" w:rsidRDefault="007D4EA6" w:rsidP="00480F2D">
      <w:pPr>
        <w:pStyle w:val="Akapitzlist"/>
        <w:numPr>
          <w:ilvl w:val="0"/>
          <w:numId w:val="13"/>
        </w:numPr>
        <w:rPr>
          <w:b/>
        </w:rPr>
      </w:pPr>
      <w:r w:rsidRPr="007955E7">
        <w:t>W</w:t>
      </w:r>
      <w:r w:rsidR="00AE176E" w:rsidRPr="007955E7">
        <w:t>ykonanie</w:t>
      </w:r>
      <w:r w:rsidRPr="007955E7">
        <w:t xml:space="preserve"> dokumentacji wykonawczej na podstawie przekazanych przez Zama</w:t>
      </w:r>
      <w:r w:rsidR="008A5D5A" w:rsidRPr="007955E7">
        <w:t>w</w:t>
      </w:r>
      <w:r w:rsidRPr="007955E7">
        <w:t>iaj</w:t>
      </w:r>
      <w:r w:rsidR="008A5D5A" w:rsidRPr="007955E7">
        <w:t>ąc</w:t>
      </w:r>
      <w:r w:rsidRPr="007955E7">
        <w:t xml:space="preserve">ego </w:t>
      </w:r>
      <w:r w:rsidR="00A07432" w:rsidRPr="007955E7">
        <w:t xml:space="preserve">poniższych </w:t>
      </w:r>
      <w:r w:rsidRPr="007955E7">
        <w:t>materiałów</w:t>
      </w:r>
      <w:r w:rsidR="00E661B3">
        <w:rPr>
          <w:lang w:val="pl-PL"/>
        </w:rPr>
        <w:t>:</w:t>
      </w:r>
      <w:r w:rsidRPr="007955E7">
        <w:t xml:space="preserve"> </w:t>
      </w:r>
      <w:r w:rsidR="00AE176E" w:rsidRPr="007955E7">
        <w:t xml:space="preserve"> </w:t>
      </w:r>
    </w:p>
    <w:p w14:paraId="1A331F37" w14:textId="77777777" w:rsidR="0011536E" w:rsidRPr="007955E7" w:rsidRDefault="0011536E" w:rsidP="007D597F">
      <w:pPr>
        <w:pStyle w:val="Akapitzlist"/>
        <w:numPr>
          <w:ilvl w:val="0"/>
          <w:numId w:val="25"/>
        </w:numPr>
        <w:ind w:left="1276" w:hanging="283"/>
        <w:rPr>
          <w:b/>
        </w:rPr>
      </w:pPr>
      <w:r w:rsidRPr="007955E7">
        <w:t xml:space="preserve">Decyzja nr 2175/2019 z dnia 14.10.2019 r. o zezwoleniu na realizacje inwestycji drogowej </w:t>
      </w:r>
    </w:p>
    <w:p w14:paraId="36413DC0" w14:textId="77777777" w:rsidR="0011536E" w:rsidRPr="007955E7" w:rsidRDefault="0011536E" w:rsidP="007D597F">
      <w:pPr>
        <w:pStyle w:val="Akapitzlist"/>
        <w:numPr>
          <w:ilvl w:val="0"/>
          <w:numId w:val="25"/>
        </w:numPr>
        <w:ind w:left="1276" w:hanging="283"/>
        <w:rPr>
          <w:b/>
        </w:rPr>
      </w:pPr>
      <w:r w:rsidRPr="007955E7">
        <w:t>Projekt budowlany TOM I Cześć 1 – projekt zagospodarowania terenu</w:t>
      </w:r>
    </w:p>
    <w:p w14:paraId="7FEAAE23" w14:textId="77777777" w:rsidR="0011536E" w:rsidRPr="007955E7" w:rsidRDefault="0011536E" w:rsidP="007D597F">
      <w:pPr>
        <w:pStyle w:val="Akapitzlist"/>
        <w:numPr>
          <w:ilvl w:val="0"/>
          <w:numId w:val="25"/>
        </w:numPr>
        <w:ind w:left="1276" w:hanging="283"/>
        <w:rPr>
          <w:b/>
        </w:rPr>
      </w:pPr>
      <w:r w:rsidRPr="007955E7">
        <w:t xml:space="preserve">Projekt Architektoniczno- budowalny TOM I cześć 2 : Układ drogowy </w:t>
      </w:r>
    </w:p>
    <w:p w14:paraId="6927682D" w14:textId="77777777" w:rsidR="0011536E" w:rsidRPr="007955E7" w:rsidRDefault="0011536E" w:rsidP="007D597F">
      <w:pPr>
        <w:pStyle w:val="Akapitzlist"/>
        <w:numPr>
          <w:ilvl w:val="0"/>
          <w:numId w:val="25"/>
        </w:numPr>
        <w:ind w:left="1276" w:hanging="283"/>
        <w:rPr>
          <w:b/>
        </w:rPr>
      </w:pPr>
      <w:r w:rsidRPr="007955E7">
        <w:t>Projekt budowlany  01. Branża elektryczna – przebudowa istniejącego oświetlenia ulicznego</w:t>
      </w:r>
    </w:p>
    <w:p w14:paraId="27D4831B" w14:textId="77777777" w:rsidR="0011536E" w:rsidRPr="007955E7" w:rsidRDefault="0011536E" w:rsidP="007D597F">
      <w:pPr>
        <w:pStyle w:val="Akapitzlist"/>
        <w:numPr>
          <w:ilvl w:val="0"/>
          <w:numId w:val="25"/>
        </w:numPr>
        <w:ind w:left="1276" w:hanging="283"/>
        <w:rPr>
          <w:b/>
        </w:rPr>
      </w:pPr>
      <w:r w:rsidRPr="007955E7">
        <w:t xml:space="preserve">Zatwierdzenie stałej organizacji ruchu nr TZ-I.7221.1.526.2017 z 14.12.2017 </w:t>
      </w:r>
    </w:p>
    <w:p w14:paraId="1EB666D9" w14:textId="77777777" w:rsidR="0011536E" w:rsidRPr="007955E7" w:rsidRDefault="0011536E" w:rsidP="007D597F">
      <w:pPr>
        <w:pStyle w:val="Akapitzlist"/>
        <w:numPr>
          <w:ilvl w:val="0"/>
          <w:numId w:val="25"/>
        </w:numPr>
        <w:ind w:left="1276" w:hanging="283"/>
        <w:rPr>
          <w:b/>
        </w:rPr>
      </w:pPr>
      <w:r w:rsidRPr="007955E7">
        <w:t>Inwentaryzacja dendrologiczna – Plan wycinki</w:t>
      </w:r>
    </w:p>
    <w:p w14:paraId="5694439C" w14:textId="77777777" w:rsidR="0011536E" w:rsidRPr="007955E7" w:rsidRDefault="0011536E" w:rsidP="007D597F">
      <w:pPr>
        <w:pStyle w:val="Akapitzlist"/>
        <w:numPr>
          <w:ilvl w:val="0"/>
          <w:numId w:val="25"/>
        </w:numPr>
        <w:ind w:left="1276" w:hanging="283"/>
        <w:rPr>
          <w:b/>
        </w:rPr>
      </w:pPr>
      <w:r w:rsidRPr="007955E7">
        <w:t xml:space="preserve">Kanalizacja deszczowa </w:t>
      </w:r>
    </w:p>
    <w:p w14:paraId="10F29B08" w14:textId="77777777" w:rsidR="0011536E" w:rsidRPr="007955E7" w:rsidRDefault="0011536E" w:rsidP="007D597F">
      <w:pPr>
        <w:pStyle w:val="Akapitzlist"/>
        <w:numPr>
          <w:ilvl w:val="0"/>
          <w:numId w:val="25"/>
        </w:numPr>
        <w:ind w:left="1276" w:hanging="283"/>
        <w:rPr>
          <w:b/>
        </w:rPr>
      </w:pPr>
      <w:r w:rsidRPr="007955E7">
        <w:t>Układ Drogowy</w:t>
      </w:r>
    </w:p>
    <w:p w14:paraId="46322FD6" w14:textId="77777777" w:rsidR="0011536E" w:rsidRPr="007955E7" w:rsidRDefault="0011536E" w:rsidP="007D597F">
      <w:pPr>
        <w:pStyle w:val="Akapitzlist"/>
        <w:numPr>
          <w:ilvl w:val="0"/>
          <w:numId w:val="25"/>
        </w:numPr>
        <w:ind w:left="1276" w:hanging="283"/>
        <w:rPr>
          <w:b/>
        </w:rPr>
      </w:pPr>
      <w:r w:rsidRPr="007955E7">
        <w:t xml:space="preserve">Kosztorys inwestorski 01 układ drogowy </w:t>
      </w:r>
    </w:p>
    <w:p w14:paraId="0E620BD9" w14:textId="77777777" w:rsidR="0011536E" w:rsidRPr="007955E7" w:rsidRDefault="0011536E" w:rsidP="007D597F">
      <w:pPr>
        <w:pStyle w:val="Akapitzlist"/>
        <w:numPr>
          <w:ilvl w:val="0"/>
          <w:numId w:val="25"/>
        </w:numPr>
        <w:ind w:left="1276" w:hanging="283"/>
        <w:rPr>
          <w:b/>
        </w:rPr>
      </w:pPr>
      <w:r w:rsidRPr="007955E7">
        <w:t>Kosztorys inwestorski 01 Branża elektryczna – przebudowa istniejącego oświetlenia ulicznego</w:t>
      </w:r>
    </w:p>
    <w:p w14:paraId="626D34E9" w14:textId="77777777" w:rsidR="0011536E" w:rsidRPr="007955E7" w:rsidRDefault="0011536E" w:rsidP="007D597F">
      <w:pPr>
        <w:pStyle w:val="Akapitzlist"/>
        <w:numPr>
          <w:ilvl w:val="0"/>
          <w:numId w:val="25"/>
        </w:numPr>
        <w:ind w:left="1276" w:hanging="283"/>
        <w:rPr>
          <w:b/>
        </w:rPr>
      </w:pPr>
      <w:r w:rsidRPr="007955E7">
        <w:t xml:space="preserve">Kosztorys inwestorski – kanalizacja deszczowa  </w:t>
      </w:r>
    </w:p>
    <w:p w14:paraId="20B9FD32" w14:textId="77777777" w:rsidR="0011536E" w:rsidRPr="007955E7" w:rsidRDefault="0011536E" w:rsidP="00480F2D">
      <w:pPr>
        <w:pStyle w:val="Akapitzlist"/>
      </w:pPr>
    </w:p>
    <w:p w14:paraId="25D570E9" w14:textId="570E2212" w:rsidR="0011536E" w:rsidRPr="007955E7" w:rsidRDefault="0011536E" w:rsidP="00480F2D">
      <w:pPr>
        <w:pStyle w:val="Akapitzlist"/>
        <w:numPr>
          <w:ilvl w:val="0"/>
          <w:numId w:val="13"/>
        </w:numPr>
        <w:rPr>
          <w:b/>
        </w:rPr>
      </w:pPr>
      <w:r w:rsidRPr="007955E7">
        <w:t xml:space="preserve">Wykonanie i uzgodnienie </w:t>
      </w:r>
      <w:r w:rsidR="0002430F" w:rsidRPr="007955E7">
        <w:t>u Miejskiego Inżyniera Ruchu</w:t>
      </w:r>
      <w:r w:rsidR="005D5A03" w:rsidRPr="007955E7">
        <w:t xml:space="preserve"> (MIR)</w:t>
      </w:r>
      <w:r w:rsidR="0002430F" w:rsidRPr="007955E7">
        <w:t xml:space="preserve"> </w:t>
      </w:r>
      <w:r w:rsidRPr="007955E7">
        <w:t xml:space="preserve">projektu </w:t>
      </w:r>
      <w:r w:rsidR="007955E7">
        <w:rPr>
          <w:b/>
        </w:rPr>
        <w:t>c</w:t>
      </w:r>
      <w:r w:rsidRPr="007955E7">
        <w:t xml:space="preserve">zasowej organizacji ruchu </w:t>
      </w:r>
      <w:r w:rsidR="0002430F" w:rsidRPr="007955E7">
        <w:t>(COR)</w:t>
      </w:r>
    </w:p>
    <w:p w14:paraId="4D42F36F" w14:textId="6CB1072A" w:rsidR="00AE176E" w:rsidRPr="007955E7" w:rsidRDefault="0002430F" w:rsidP="00480F2D">
      <w:pPr>
        <w:pStyle w:val="Akapitzlist"/>
        <w:numPr>
          <w:ilvl w:val="0"/>
          <w:numId w:val="13"/>
        </w:numPr>
        <w:rPr>
          <w:b/>
        </w:rPr>
      </w:pPr>
      <w:r w:rsidRPr="007955E7">
        <w:t>Dostosowanie</w:t>
      </w:r>
      <w:r w:rsidR="00E661B3">
        <w:rPr>
          <w:lang w:val="pl-PL"/>
        </w:rPr>
        <w:t xml:space="preserve"> </w:t>
      </w:r>
      <w:r w:rsidRPr="007955E7">
        <w:t>oraz a</w:t>
      </w:r>
      <w:r w:rsidR="008A5D5A" w:rsidRPr="007955E7">
        <w:t>ktu</w:t>
      </w:r>
      <w:r w:rsidR="00B8046D" w:rsidRPr="007955E7">
        <w:t>alizacj</w:t>
      </w:r>
      <w:r w:rsidR="005D5A03" w:rsidRPr="007955E7">
        <w:t>a</w:t>
      </w:r>
      <w:r w:rsidRPr="007955E7">
        <w:t xml:space="preserve"> </w:t>
      </w:r>
      <w:r w:rsidR="008A5D5A" w:rsidRPr="007955E7">
        <w:t xml:space="preserve">kosztorysów inwestorskich </w:t>
      </w:r>
    </w:p>
    <w:p w14:paraId="72BF2159" w14:textId="2BAB2FCD" w:rsidR="00B8046D" w:rsidRPr="007955E7" w:rsidRDefault="00034726" w:rsidP="00480F2D">
      <w:pPr>
        <w:pStyle w:val="Akapitzlist"/>
        <w:numPr>
          <w:ilvl w:val="0"/>
          <w:numId w:val="13"/>
        </w:numPr>
        <w:rPr>
          <w:b/>
        </w:rPr>
      </w:pPr>
      <w:r w:rsidRPr="007955E7">
        <w:t>Wykonanie b</w:t>
      </w:r>
      <w:r w:rsidR="00B8046D" w:rsidRPr="007955E7">
        <w:t>ada</w:t>
      </w:r>
      <w:r w:rsidRPr="007955E7">
        <w:t>ń</w:t>
      </w:r>
      <w:r w:rsidR="00B8046D" w:rsidRPr="007955E7">
        <w:t xml:space="preserve"> oraz opracowanie dokumentacji geologicznej </w:t>
      </w:r>
    </w:p>
    <w:p w14:paraId="1C81D3BA" w14:textId="77777777" w:rsidR="00AE176E" w:rsidRPr="00940422" w:rsidRDefault="00AE176E" w:rsidP="00480F2D"/>
    <w:p w14:paraId="0C554C15" w14:textId="5E6CBA6F" w:rsidR="00EA6BB3" w:rsidRPr="007955E7" w:rsidRDefault="00AE176E" w:rsidP="00480F2D">
      <w:pPr>
        <w:rPr>
          <w:b/>
        </w:rPr>
      </w:pPr>
      <w:r w:rsidRPr="007955E7">
        <w:t xml:space="preserve">Oczekiwaniem Zamawiającego dla niniejszego zadania jest </w:t>
      </w:r>
      <w:r w:rsidR="00EA6BB3" w:rsidRPr="007955E7">
        <w:t xml:space="preserve">przed przystąpieniem do wykonania projektu wykonawczego </w:t>
      </w:r>
      <w:r w:rsidR="0002430F" w:rsidRPr="007955E7">
        <w:t xml:space="preserve">przeanalizowanie przez Wykonawcę </w:t>
      </w:r>
      <w:r w:rsidR="00EA6BB3" w:rsidRPr="007955E7">
        <w:t>dokumentacji będącej w posiadaniu Zamawiającego</w:t>
      </w:r>
      <w:r w:rsidR="0002430F" w:rsidRPr="007955E7">
        <w:t xml:space="preserve">. Analiza powinna być przeprowadzona pod kontem </w:t>
      </w:r>
      <w:r w:rsidR="00034726" w:rsidRPr="007955E7">
        <w:t xml:space="preserve">poprawności </w:t>
      </w:r>
      <w:r w:rsidR="0002430F" w:rsidRPr="007955E7">
        <w:t xml:space="preserve">przyjętych </w:t>
      </w:r>
      <w:r w:rsidR="00E661B3">
        <w:br/>
      </w:r>
      <w:r w:rsidR="000E5C2A" w:rsidRPr="007955E7">
        <w:t xml:space="preserve">w projekcie budowlanym </w:t>
      </w:r>
      <w:r w:rsidR="00EA6BB3" w:rsidRPr="007955E7">
        <w:t>rozwiązań technologicznych</w:t>
      </w:r>
      <w:r w:rsidR="001006DC" w:rsidRPr="007955E7">
        <w:t xml:space="preserve"> dla </w:t>
      </w:r>
      <w:r w:rsidR="00D721C0" w:rsidRPr="007955E7">
        <w:t>wykonania robót budowlanych</w:t>
      </w:r>
      <w:r w:rsidR="005D5A03" w:rsidRPr="007955E7">
        <w:t>.</w:t>
      </w:r>
    </w:p>
    <w:p w14:paraId="2742914B" w14:textId="77777777" w:rsidR="00EA6BB3" w:rsidRDefault="00EA6BB3" w:rsidP="00480F2D"/>
    <w:p w14:paraId="25EC34B0" w14:textId="77777777" w:rsidR="00AE176E" w:rsidRPr="00940422" w:rsidRDefault="00AE176E" w:rsidP="00480F2D"/>
    <w:p w14:paraId="71AE183B" w14:textId="4AE933E1" w:rsidR="00AE176E" w:rsidRPr="001C28B5" w:rsidRDefault="006523F6" w:rsidP="006523F6">
      <w:pPr>
        <w:pStyle w:val="Akapitzlist"/>
        <w:numPr>
          <w:ilvl w:val="0"/>
          <w:numId w:val="14"/>
        </w:numPr>
        <w:ind w:left="284" w:hanging="284"/>
      </w:pPr>
      <w:r>
        <w:rPr>
          <w:lang w:val="pl-PL"/>
        </w:rPr>
        <w:t>ETAPY ORAZ TERMINY REALIZACJI</w:t>
      </w:r>
    </w:p>
    <w:p w14:paraId="3EE47689" w14:textId="77777777" w:rsidR="00AE176E" w:rsidRPr="00940422" w:rsidRDefault="00AE176E" w:rsidP="00480F2D">
      <w:pPr>
        <w:pStyle w:val="Akapitzlist"/>
      </w:pPr>
    </w:p>
    <w:p w14:paraId="17E4F399" w14:textId="2AF48193" w:rsidR="007955E7" w:rsidRDefault="00AE176E" w:rsidP="00480F2D">
      <w:bookmarkStart w:id="11" w:name="_Toc496538970"/>
      <w:bookmarkStart w:id="12" w:name="_Toc515347405"/>
      <w:r w:rsidRPr="00940422">
        <w:rPr>
          <w:bCs/>
        </w:rPr>
        <w:t>4.</w:t>
      </w:r>
      <w:r w:rsidR="007D597F">
        <w:rPr>
          <w:bCs/>
        </w:rPr>
        <w:t>1</w:t>
      </w:r>
      <w:r w:rsidRPr="00940422">
        <w:rPr>
          <w:bCs/>
        </w:rPr>
        <w:t>. Etap I</w:t>
      </w:r>
      <w:r w:rsidRPr="00940422">
        <w:t xml:space="preserve"> „Projekt wykonawczy”</w:t>
      </w:r>
      <w:r w:rsidR="00EC406E">
        <w:t xml:space="preserve">. </w:t>
      </w:r>
      <w:r w:rsidR="00EC406E">
        <w:rPr>
          <w:bCs/>
        </w:rPr>
        <w:t>T</w:t>
      </w:r>
      <w:r w:rsidRPr="00940422">
        <w:rPr>
          <w:bCs/>
        </w:rPr>
        <w:t xml:space="preserve">ermin </w:t>
      </w:r>
      <w:r w:rsidR="000E5C2A">
        <w:rPr>
          <w:bCs/>
        </w:rPr>
        <w:t>12</w:t>
      </w:r>
      <w:r w:rsidR="008A5D5A">
        <w:rPr>
          <w:bCs/>
        </w:rPr>
        <w:t>0</w:t>
      </w:r>
      <w:r w:rsidRPr="00940422">
        <w:t xml:space="preserve"> dni od daty podpisania Umowy</w:t>
      </w:r>
      <w:r w:rsidR="007955E7">
        <w:t>.</w:t>
      </w:r>
      <w:r w:rsidR="00E661B3">
        <w:t xml:space="preserve"> W ramach Etapu I Wykonawca wykonana obowiązki wskazane w pkt. 3.1. OPZ.</w:t>
      </w:r>
    </w:p>
    <w:p w14:paraId="333ADA6C" w14:textId="2B21E30A" w:rsidR="00AE176E" w:rsidRPr="00940422" w:rsidRDefault="009412DF" w:rsidP="00480F2D">
      <w:pPr>
        <w:rPr>
          <w:b/>
        </w:rPr>
      </w:pPr>
      <w:r>
        <w:t>Strony ustalają, iż</w:t>
      </w:r>
      <w:r w:rsidR="00AE176E" w:rsidRPr="00940422">
        <w:t xml:space="preserve"> wartość Etapu I to </w:t>
      </w:r>
      <w:r w:rsidR="008A5D5A">
        <w:t>9</w:t>
      </w:r>
      <w:r w:rsidR="00AE176E" w:rsidRPr="00940422">
        <w:t xml:space="preserve">0 % </w:t>
      </w:r>
      <w:r w:rsidR="007955E7">
        <w:t xml:space="preserve">wartości </w:t>
      </w:r>
      <w:r w:rsidR="00AE176E" w:rsidRPr="00940422">
        <w:t xml:space="preserve">złożonej </w:t>
      </w:r>
      <w:r w:rsidR="007955E7">
        <w:t>o</w:t>
      </w:r>
      <w:r w:rsidR="00AE176E" w:rsidRPr="00940422">
        <w:t>ferty</w:t>
      </w:r>
      <w:r w:rsidR="00EC406E">
        <w:t>.</w:t>
      </w:r>
      <w:r w:rsidR="00AE176E" w:rsidRPr="00940422">
        <w:t xml:space="preserve"> </w:t>
      </w:r>
      <w:r w:rsidR="00AE176E" w:rsidRPr="00940422">
        <w:rPr>
          <w:rFonts w:cs="Arial-BoldMT"/>
        </w:rPr>
        <w:t xml:space="preserve">       </w:t>
      </w:r>
    </w:p>
    <w:p w14:paraId="73DA37C6" w14:textId="77777777" w:rsidR="00AE176E" w:rsidRPr="00940422" w:rsidRDefault="00AE176E" w:rsidP="00480F2D"/>
    <w:p w14:paraId="159A9F44" w14:textId="029E224A" w:rsidR="00AE176E" w:rsidRPr="00940422" w:rsidRDefault="00AE176E" w:rsidP="00480F2D">
      <w:pPr>
        <w:rPr>
          <w:b/>
        </w:rPr>
      </w:pPr>
      <w:r w:rsidRPr="00940422">
        <w:t>Zakres oraz wymagania dotyczące projektu wykonawczego</w:t>
      </w:r>
      <w:r w:rsidR="00EC406E">
        <w:t xml:space="preserve"> w ramach Etapu I:</w:t>
      </w:r>
    </w:p>
    <w:p w14:paraId="44CFE718" w14:textId="76B7987D" w:rsidR="002B7BC6" w:rsidRPr="00480F2D" w:rsidRDefault="001824BC" w:rsidP="00480F2D">
      <w:pPr>
        <w:pStyle w:val="NormalnyWeb"/>
        <w:rPr>
          <w:rStyle w:val="Uwydatnienie"/>
          <w:rFonts w:asciiTheme="minorHAnsi" w:hAnsiTheme="minorHAnsi"/>
          <w:b w:val="0"/>
          <w:bCs w:val="0"/>
        </w:rPr>
      </w:pPr>
      <w:r w:rsidRPr="00480F2D">
        <w:rPr>
          <w:rStyle w:val="Uwydatnienie"/>
          <w:rFonts w:asciiTheme="minorHAnsi" w:hAnsiTheme="minorHAnsi"/>
          <w:b w:val="0"/>
          <w:bCs w:val="0"/>
        </w:rPr>
        <w:t>P</w:t>
      </w:r>
      <w:r w:rsidR="00AE176E" w:rsidRPr="00480F2D">
        <w:rPr>
          <w:rStyle w:val="Uwydatnienie"/>
          <w:rFonts w:asciiTheme="minorHAnsi" w:hAnsiTheme="minorHAnsi"/>
          <w:b w:val="0"/>
          <w:bCs w:val="0"/>
        </w:rPr>
        <w:t xml:space="preserve">rojekt </w:t>
      </w:r>
      <w:r w:rsidR="00E661B3" w:rsidRPr="00480F2D">
        <w:rPr>
          <w:rStyle w:val="Uwydatnienie"/>
          <w:rFonts w:asciiTheme="minorHAnsi" w:hAnsiTheme="minorHAnsi"/>
          <w:b w:val="0"/>
          <w:bCs w:val="0"/>
        </w:rPr>
        <w:t>wykonawcz</w:t>
      </w:r>
      <w:r w:rsidR="00E661B3">
        <w:rPr>
          <w:rStyle w:val="Uwydatnienie"/>
          <w:rFonts w:asciiTheme="minorHAnsi" w:hAnsiTheme="minorHAnsi"/>
          <w:b w:val="0"/>
          <w:bCs w:val="0"/>
        </w:rPr>
        <w:t>y</w:t>
      </w:r>
      <w:r w:rsidR="00E661B3" w:rsidRPr="00480F2D">
        <w:rPr>
          <w:rStyle w:val="Uwydatnienie"/>
          <w:rFonts w:asciiTheme="minorHAnsi" w:hAnsiTheme="minorHAnsi"/>
          <w:b w:val="0"/>
          <w:bCs w:val="0"/>
        </w:rPr>
        <w:t xml:space="preserve"> mus</w:t>
      </w:r>
      <w:r w:rsidR="00E661B3">
        <w:rPr>
          <w:rStyle w:val="Uwydatnienie"/>
          <w:rFonts w:asciiTheme="minorHAnsi" w:hAnsiTheme="minorHAnsi"/>
          <w:b w:val="0"/>
          <w:bCs w:val="0"/>
        </w:rPr>
        <w:t>i</w:t>
      </w:r>
      <w:r w:rsidR="00E661B3" w:rsidRPr="00480F2D">
        <w:rPr>
          <w:rStyle w:val="Uwydatnienie"/>
          <w:rFonts w:asciiTheme="minorHAnsi" w:hAnsiTheme="minorHAnsi"/>
          <w:b w:val="0"/>
          <w:bCs w:val="0"/>
        </w:rPr>
        <w:t xml:space="preserve"> </w:t>
      </w:r>
      <w:r w:rsidR="00AE176E" w:rsidRPr="00480F2D">
        <w:rPr>
          <w:rStyle w:val="Uwydatnienie"/>
          <w:rFonts w:asciiTheme="minorHAnsi" w:hAnsiTheme="minorHAnsi"/>
          <w:b w:val="0"/>
          <w:bCs w:val="0"/>
        </w:rPr>
        <w:t xml:space="preserve">uzupełniać i uszczegóławiać projekt budowlany w zakresie i stopniu dokładności niezbędnym do </w:t>
      </w:r>
      <w:r w:rsidR="009F6D37" w:rsidRPr="00480F2D">
        <w:rPr>
          <w:rStyle w:val="Uwydatnienie"/>
          <w:rFonts w:asciiTheme="minorHAnsi" w:hAnsiTheme="minorHAnsi"/>
          <w:b w:val="0"/>
          <w:bCs w:val="0"/>
        </w:rPr>
        <w:t xml:space="preserve">zaktualizowania </w:t>
      </w:r>
      <w:r w:rsidR="007955E7" w:rsidRPr="00480F2D">
        <w:rPr>
          <w:rStyle w:val="Uwydatnienie"/>
          <w:rFonts w:asciiTheme="minorHAnsi" w:hAnsiTheme="minorHAnsi"/>
          <w:b w:val="0"/>
          <w:bCs w:val="0"/>
        </w:rPr>
        <w:t>Specyfikacji Technicznych Wykonania i Odbioru Robót Budowlanych (</w:t>
      </w:r>
      <w:proofErr w:type="spellStart"/>
      <w:r w:rsidR="00525F30" w:rsidRPr="00480F2D">
        <w:rPr>
          <w:rStyle w:val="Uwydatnienie"/>
          <w:rFonts w:asciiTheme="minorHAnsi" w:hAnsiTheme="minorHAnsi"/>
          <w:b w:val="0"/>
          <w:bCs w:val="0"/>
        </w:rPr>
        <w:t>STW</w:t>
      </w:r>
      <w:r w:rsidR="007955E7" w:rsidRPr="00480F2D">
        <w:rPr>
          <w:rStyle w:val="Uwydatnienie"/>
          <w:rFonts w:asciiTheme="minorHAnsi" w:hAnsiTheme="minorHAnsi"/>
          <w:b w:val="0"/>
          <w:bCs w:val="0"/>
        </w:rPr>
        <w:t>i</w:t>
      </w:r>
      <w:r w:rsidR="00525F30" w:rsidRPr="00480F2D">
        <w:rPr>
          <w:rStyle w:val="Uwydatnienie"/>
          <w:rFonts w:asciiTheme="minorHAnsi" w:hAnsiTheme="minorHAnsi"/>
          <w:b w:val="0"/>
          <w:bCs w:val="0"/>
        </w:rPr>
        <w:t>OR</w:t>
      </w:r>
      <w:r w:rsidR="009F6D37" w:rsidRPr="00480F2D">
        <w:rPr>
          <w:rStyle w:val="Uwydatnienie"/>
          <w:rFonts w:asciiTheme="minorHAnsi" w:hAnsiTheme="minorHAnsi"/>
          <w:b w:val="0"/>
          <w:bCs w:val="0"/>
        </w:rPr>
        <w:t>B</w:t>
      </w:r>
      <w:proofErr w:type="spellEnd"/>
      <w:r w:rsidR="007955E7" w:rsidRPr="00480F2D">
        <w:rPr>
          <w:rStyle w:val="Uwydatnienie"/>
          <w:rFonts w:asciiTheme="minorHAnsi" w:hAnsiTheme="minorHAnsi"/>
          <w:b w:val="0"/>
          <w:bCs w:val="0"/>
        </w:rPr>
        <w:t>)</w:t>
      </w:r>
      <w:r w:rsidR="00525F30" w:rsidRPr="00480F2D">
        <w:rPr>
          <w:rStyle w:val="Uwydatnienie"/>
          <w:rFonts w:asciiTheme="minorHAnsi" w:hAnsiTheme="minorHAnsi"/>
          <w:b w:val="0"/>
          <w:bCs w:val="0"/>
        </w:rPr>
        <w:t xml:space="preserve"> oraz </w:t>
      </w:r>
      <w:r w:rsidR="00E661B3">
        <w:rPr>
          <w:rStyle w:val="Uwydatnienie"/>
          <w:rFonts w:asciiTheme="minorHAnsi" w:hAnsiTheme="minorHAnsi"/>
          <w:b w:val="0"/>
          <w:bCs w:val="0"/>
        </w:rPr>
        <w:t>P</w:t>
      </w:r>
      <w:r w:rsidR="00E661B3" w:rsidRPr="00480F2D">
        <w:rPr>
          <w:rStyle w:val="Uwydatnienie"/>
          <w:rFonts w:asciiTheme="minorHAnsi" w:hAnsiTheme="minorHAnsi"/>
          <w:b w:val="0"/>
          <w:bCs w:val="0"/>
        </w:rPr>
        <w:t xml:space="preserve">rzedmiaru </w:t>
      </w:r>
      <w:r w:rsidR="00E661B3">
        <w:rPr>
          <w:rStyle w:val="Uwydatnienie"/>
          <w:rFonts w:asciiTheme="minorHAnsi" w:hAnsiTheme="minorHAnsi"/>
          <w:b w:val="0"/>
          <w:bCs w:val="0"/>
        </w:rPr>
        <w:t>R</w:t>
      </w:r>
      <w:r w:rsidR="00E661B3" w:rsidRPr="00480F2D">
        <w:rPr>
          <w:rStyle w:val="Uwydatnienie"/>
          <w:rFonts w:asciiTheme="minorHAnsi" w:hAnsiTheme="minorHAnsi"/>
          <w:b w:val="0"/>
          <w:bCs w:val="0"/>
        </w:rPr>
        <w:t xml:space="preserve">obót </w:t>
      </w:r>
      <w:r w:rsidR="007955E7" w:rsidRPr="00480F2D">
        <w:rPr>
          <w:rStyle w:val="Uwydatnienie"/>
          <w:rFonts w:asciiTheme="minorHAnsi" w:hAnsiTheme="minorHAnsi"/>
          <w:b w:val="0"/>
          <w:bCs w:val="0"/>
        </w:rPr>
        <w:t>(PR)</w:t>
      </w:r>
      <w:r w:rsidR="003B445B" w:rsidRPr="00480F2D">
        <w:rPr>
          <w:rStyle w:val="Uwydatnienie"/>
          <w:rFonts w:asciiTheme="minorHAnsi" w:hAnsiTheme="minorHAnsi"/>
          <w:b w:val="0"/>
          <w:bCs w:val="0"/>
        </w:rPr>
        <w:t xml:space="preserve">. Projekt wykonawczy powinien zostać </w:t>
      </w:r>
      <w:r w:rsidR="003B445B" w:rsidRPr="00480F2D">
        <w:rPr>
          <w:rStyle w:val="Uwydatnienie"/>
          <w:rFonts w:asciiTheme="minorHAnsi" w:hAnsiTheme="minorHAnsi"/>
          <w:b w:val="0"/>
          <w:bCs w:val="0"/>
        </w:rPr>
        <w:lastRenderedPageBreak/>
        <w:t xml:space="preserve">opracowany po przeanalizowaniu </w:t>
      </w:r>
      <w:r w:rsidR="00525F30" w:rsidRPr="00480F2D">
        <w:rPr>
          <w:rStyle w:val="Uwydatnienie"/>
          <w:rFonts w:asciiTheme="minorHAnsi" w:hAnsiTheme="minorHAnsi"/>
          <w:b w:val="0"/>
          <w:bCs w:val="0"/>
        </w:rPr>
        <w:t xml:space="preserve">oraz przedyskutowaniu z Zamawiającym </w:t>
      </w:r>
      <w:r w:rsidR="003B445B" w:rsidRPr="00480F2D">
        <w:rPr>
          <w:rStyle w:val="Uwydatnienie"/>
          <w:rFonts w:asciiTheme="minorHAnsi" w:hAnsiTheme="minorHAnsi"/>
          <w:b w:val="0"/>
          <w:bCs w:val="0"/>
        </w:rPr>
        <w:t>przyjętych rozwiąza</w:t>
      </w:r>
      <w:r w:rsidR="0081393C">
        <w:rPr>
          <w:rStyle w:val="Uwydatnienie"/>
          <w:rFonts w:asciiTheme="minorHAnsi" w:hAnsiTheme="minorHAnsi"/>
          <w:b w:val="0"/>
          <w:bCs w:val="0"/>
        </w:rPr>
        <w:t xml:space="preserve">ń </w:t>
      </w:r>
      <w:r w:rsidR="003B445B" w:rsidRPr="00480F2D">
        <w:rPr>
          <w:rStyle w:val="Uwydatnienie"/>
          <w:rFonts w:asciiTheme="minorHAnsi" w:hAnsiTheme="minorHAnsi"/>
          <w:b w:val="0"/>
          <w:bCs w:val="0"/>
        </w:rPr>
        <w:t xml:space="preserve">technologicznych </w:t>
      </w:r>
      <w:r w:rsidR="00525F30" w:rsidRPr="00480F2D">
        <w:rPr>
          <w:rStyle w:val="Uwydatnienie"/>
          <w:rFonts w:asciiTheme="minorHAnsi" w:hAnsiTheme="minorHAnsi"/>
          <w:b w:val="0"/>
          <w:bCs w:val="0"/>
        </w:rPr>
        <w:t xml:space="preserve">zawartych w </w:t>
      </w:r>
      <w:r w:rsidR="003B445B" w:rsidRPr="00480F2D">
        <w:rPr>
          <w:rStyle w:val="Uwydatnienie"/>
          <w:rFonts w:asciiTheme="minorHAnsi" w:hAnsiTheme="minorHAnsi"/>
          <w:b w:val="0"/>
          <w:bCs w:val="0"/>
        </w:rPr>
        <w:t>dokumentacji budowlanej.</w:t>
      </w:r>
      <w:r w:rsidR="009F6D37" w:rsidRPr="00480F2D">
        <w:rPr>
          <w:rStyle w:val="Uwydatnienie"/>
          <w:rFonts w:asciiTheme="minorHAnsi" w:hAnsiTheme="minorHAnsi"/>
          <w:b w:val="0"/>
          <w:bCs w:val="0"/>
        </w:rPr>
        <w:t xml:space="preserve"> Projekt wykonawczy powinien uwzględniać</w:t>
      </w:r>
      <w:r w:rsidR="003B445B" w:rsidRPr="00480F2D">
        <w:rPr>
          <w:rStyle w:val="Uwydatnienie"/>
          <w:rFonts w:asciiTheme="minorHAnsi" w:hAnsiTheme="minorHAnsi"/>
          <w:b w:val="0"/>
          <w:bCs w:val="0"/>
        </w:rPr>
        <w:t xml:space="preserve"> </w:t>
      </w:r>
      <w:r w:rsidR="003E05AC" w:rsidRPr="00480F2D">
        <w:rPr>
          <w:rStyle w:val="Uwydatnienie"/>
          <w:rFonts w:asciiTheme="minorHAnsi" w:hAnsiTheme="minorHAnsi"/>
          <w:b w:val="0"/>
          <w:bCs w:val="0"/>
        </w:rPr>
        <w:t xml:space="preserve">możliwości </w:t>
      </w:r>
      <w:r w:rsidR="009F6D37" w:rsidRPr="00480F2D">
        <w:rPr>
          <w:rStyle w:val="Uwydatnienie"/>
          <w:rFonts w:asciiTheme="minorHAnsi" w:hAnsiTheme="minorHAnsi"/>
          <w:b w:val="0"/>
          <w:bCs w:val="0"/>
        </w:rPr>
        <w:t>z</w:t>
      </w:r>
      <w:r w:rsidR="00525F30" w:rsidRPr="00480F2D">
        <w:rPr>
          <w:rStyle w:val="Uwydatnienie"/>
          <w:rFonts w:asciiTheme="minorHAnsi" w:hAnsiTheme="minorHAnsi"/>
          <w:b w:val="0"/>
          <w:bCs w:val="0"/>
        </w:rPr>
        <w:t xml:space="preserve">miany </w:t>
      </w:r>
      <w:r w:rsidR="003B445B" w:rsidRPr="00480F2D">
        <w:rPr>
          <w:rStyle w:val="Uwydatnienie"/>
          <w:rFonts w:asciiTheme="minorHAnsi" w:hAnsiTheme="minorHAnsi"/>
          <w:b w:val="0"/>
          <w:bCs w:val="0"/>
        </w:rPr>
        <w:t xml:space="preserve">technologii wykonania </w:t>
      </w:r>
      <w:r w:rsidR="009F6D37" w:rsidRPr="00480F2D">
        <w:rPr>
          <w:rStyle w:val="Uwydatnienie"/>
          <w:rFonts w:asciiTheme="minorHAnsi" w:hAnsiTheme="minorHAnsi"/>
          <w:b w:val="0"/>
          <w:bCs w:val="0"/>
        </w:rPr>
        <w:t>poszczególnych robót,</w:t>
      </w:r>
      <w:r w:rsidR="003E05AC" w:rsidRPr="00480F2D">
        <w:rPr>
          <w:rStyle w:val="Uwydatnienie"/>
          <w:rFonts w:asciiTheme="minorHAnsi" w:hAnsiTheme="minorHAnsi"/>
          <w:b w:val="0"/>
          <w:bCs w:val="0"/>
        </w:rPr>
        <w:t xml:space="preserve"> </w:t>
      </w:r>
      <w:r w:rsidR="009F6D37" w:rsidRPr="00480F2D">
        <w:rPr>
          <w:rStyle w:val="Uwydatnienie"/>
          <w:rFonts w:asciiTheme="minorHAnsi" w:hAnsiTheme="minorHAnsi"/>
          <w:b w:val="0"/>
          <w:bCs w:val="0"/>
        </w:rPr>
        <w:t xml:space="preserve">łącznie ze zmianą </w:t>
      </w:r>
      <w:r w:rsidRPr="00480F2D">
        <w:rPr>
          <w:rStyle w:val="Uwydatnienie"/>
          <w:rFonts w:asciiTheme="minorHAnsi" w:hAnsiTheme="minorHAnsi"/>
          <w:b w:val="0"/>
          <w:bCs w:val="0"/>
        </w:rPr>
        <w:t xml:space="preserve">technologii </w:t>
      </w:r>
      <w:r w:rsidR="009F6D37" w:rsidRPr="00480F2D">
        <w:rPr>
          <w:rStyle w:val="Uwydatnienie"/>
          <w:rFonts w:asciiTheme="minorHAnsi" w:hAnsiTheme="minorHAnsi"/>
          <w:b w:val="0"/>
          <w:bCs w:val="0"/>
        </w:rPr>
        <w:t xml:space="preserve">wykonania </w:t>
      </w:r>
      <w:r w:rsidR="005D5A03" w:rsidRPr="00480F2D">
        <w:rPr>
          <w:rStyle w:val="Uwydatnienie"/>
          <w:rFonts w:asciiTheme="minorHAnsi" w:hAnsiTheme="minorHAnsi"/>
          <w:b w:val="0"/>
          <w:bCs w:val="0"/>
        </w:rPr>
        <w:t xml:space="preserve">np. </w:t>
      </w:r>
      <w:r w:rsidR="009F6D37" w:rsidRPr="00480F2D">
        <w:rPr>
          <w:rStyle w:val="Uwydatnienie"/>
          <w:rFonts w:asciiTheme="minorHAnsi" w:hAnsiTheme="minorHAnsi"/>
          <w:b w:val="0"/>
          <w:bCs w:val="0"/>
        </w:rPr>
        <w:t xml:space="preserve">kanalizacji deszczowej z „otwartego wykopu” na technologię </w:t>
      </w:r>
      <w:proofErr w:type="spellStart"/>
      <w:r w:rsidR="009F6D37" w:rsidRPr="00480F2D">
        <w:rPr>
          <w:rStyle w:val="Uwydatnienie"/>
          <w:rFonts w:asciiTheme="minorHAnsi" w:hAnsiTheme="minorHAnsi"/>
          <w:b w:val="0"/>
          <w:bCs w:val="0"/>
        </w:rPr>
        <w:t>bezwykopową</w:t>
      </w:r>
      <w:proofErr w:type="spellEnd"/>
      <w:r w:rsidRPr="00480F2D">
        <w:rPr>
          <w:rStyle w:val="Uwydatnienie"/>
          <w:rFonts w:asciiTheme="minorHAnsi" w:hAnsiTheme="minorHAnsi"/>
          <w:b w:val="0"/>
          <w:bCs w:val="0"/>
        </w:rPr>
        <w:t xml:space="preserve"> </w:t>
      </w:r>
      <w:r w:rsidR="007955E7" w:rsidRPr="00480F2D">
        <w:rPr>
          <w:rStyle w:val="Uwydatnienie"/>
          <w:rFonts w:asciiTheme="minorHAnsi" w:hAnsiTheme="minorHAnsi"/>
          <w:b w:val="0"/>
          <w:bCs w:val="0"/>
        </w:rPr>
        <w:t xml:space="preserve">- </w:t>
      </w:r>
      <w:r w:rsidRPr="00480F2D">
        <w:rPr>
          <w:rStyle w:val="Uwydatnienie"/>
          <w:rFonts w:asciiTheme="minorHAnsi" w:hAnsiTheme="minorHAnsi"/>
          <w:b w:val="0"/>
          <w:bCs w:val="0"/>
        </w:rPr>
        <w:t>przewiert sterowany</w:t>
      </w:r>
      <w:r w:rsidR="00372502" w:rsidRPr="00480F2D">
        <w:rPr>
          <w:rStyle w:val="Uwydatnienie"/>
          <w:rFonts w:asciiTheme="minorHAnsi" w:hAnsiTheme="minorHAnsi"/>
          <w:b w:val="0"/>
          <w:bCs w:val="0"/>
        </w:rPr>
        <w:t>. Przyjęte</w:t>
      </w:r>
      <w:r w:rsidR="00E661B3">
        <w:rPr>
          <w:rStyle w:val="Uwydatnienie"/>
          <w:rFonts w:asciiTheme="minorHAnsi" w:hAnsiTheme="minorHAnsi"/>
          <w:b w:val="0"/>
          <w:bCs w:val="0"/>
        </w:rPr>
        <w:t>,</w:t>
      </w:r>
      <w:r w:rsidR="00372502" w:rsidRPr="00480F2D">
        <w:rPr>
          <w:rStyle w:val="Uwydatnienie"/>
          <w:rFonts w:asciiTheme="minorHAnsi" w:hAnsiTheme="minorHAnsi"/>
          <w:b w:val="0"/>
          <w:bCs w:val="0"/>
        </w:rPr>
        <w:t xml:space="preserve"> </w:t>
      </w:r>
      <w:r w:rsidR="00AF67D7" w:rsidRPr="00480F2D">
        <w:rPr>
          <w:rStyle w:val="Uwydatnienie"/>
          <w:rFonts w:asciiTheme="minorHAnsi" w:hAnsiTheme="minorHAnsi"/>
          <w:b w:val="0"/>
          <w:bCs w:val="0"/>
        </w:rPr>
        <w:t xml:space="preserve">zaproponowane </w:t>
      </w:r>
      <w:r w:rsidRPr="00480F2D">
        <w:rPr>
          <w:rStyle w:val="Uwydatnienie"/>
          <w:rFonts w:asciiTheme="minorHAnsi" w:hAnsiTheme="minorHAnsi"/>
          <w:b w:val="0"/>
          <w:bCs w:val="0"/>
        </w:rPr>
        <w:t xml:space="preserve">i uzgodnione </w:t>
      </w:r>
      <w:r w:rsidR="00372502" w:rsidRPr="00480F2D">
        <w:rPr>
          <w:rStyle w:val="Uwydatnienie"/>
          <w:rFonts w:asciiTheme="minorHAnsi" w:hAnsiTheme="minorHAnsi"/>
          <w:b w:val="0"/>
          <w:bCs w:val="0"/>
        </w:rPr>
        <w:t xml:space="preserve">rozwiązania zamienne nie mogą </w:t>
      </w:r>
      <w:r w:rsidR="003E05AC" w:rsidRPr="00480F2D">
        <w:rPr>
          <w:rStyle w:val="Uwydatnienie"/>
          <w:rFonts w:asciiTheme="minorHAnsi" w:hAnsiTheme="minorHAnsi"/>
          <w:b w:val="0"/>
          <w:bCs w:val="0"/>
        </w:rPr>
        <w:t>narusza</w:t>
      </w:r>
      <w:r w:rsidR="00372502" w:rsidRPr="00480F2D">
        <w:rPr>
          <w:rStyle w:val="Uwydatnienie"/>
          <w:rFonts w:asciiTheme="minorHAnsi" w:hAnsiTheme="minorHAnsi"/>
          <w:b w:val="0"/>
          <w:bCs w:val="0"/>
        </w:rPr>
        <w:t>ć</w:t>
      </w:r>
      <w:r w:rsidR="003E05AC" w:rsidRPr="00480F2D">
        <w:rPr>
          <w:rStyle w:val="Uwydatnienie"/>
          <w:rFonts w:asciiTheme="minorHAnsi" w:hAnsiTheme="minorHAnsi"/>
          <w:b w:val="0"/>
          <w:bCs w:val="0"/>
        </w:rPr>
        <w:t xml:space="preserve"> postanowień prawomocn</w:t>
      </w:r>
      <w:r w:rsidR="007955E7" w:rsidRPr="00480F2D">
        <w:rPr>
          <w:rStyle w:val="Uwydatnienie"/>
          <w:rFonts w:asciiTheme="minorHAnsi" w:hAnsiTheme="minorHAnsi"/>
          <w:b w:val="0"/>
          <w:bCs w:val="0"/>
        </w:rPr>
        <w:t>ie wydanej</w:t>
      </w:r>
      <w:r w:rsidRPr="00480F2D">
        <w:rPr>
          <w:rStyle w:val="Uwydatnienie"/>
          <w:rFonts w:asciiTheme="minorHAnsi" w:hAnsiTheme="minorHAnsi"/>
          <w:b w:val="0"/>
          <w:bCs w:val="0"/>
        </w:rPr>
        <w:t xml:space="preserve"> </w:t>
      </w:r>
      <w:r w:rsidR="003E05AC" w:rsidRPr="00480F2D">
        <w:rPr>
          <w:rStyle w:val="Uwydatnienie"/>
          <w:rFonts w:asciiTheme="minorHAnsi" w:hAnsiTheme="minorHAnsi"/>
          <w:b w:val="0"/>
          <w:bCs w:val="0"/>
        </w:rPr>
        <w:t>decyzji ZRID.</w:t>
      </w:r>
      <w:r w:rsidR="009F6D37" w:rsidRPr="00480F2D">
        <w:rPr>
          <w:rStyle w:val="Uwydatnienie"/>
          <w:rFonts w:asciiTheme="minorHAnsi" w:hAnsiTheme="minorHAnsi"/>
          <w:b w:val="0"/>
          <w:bCs w:val="0"/>
        </w:rPr>
        <w:t xml:space="preserve"> Zmiana technologii powinna zostać poparta </w:t>
      </w:r>
      <w:r w:rsidR="003E05AC" w:rsidRPr="00480F2D">
        <w:rPr>
          <w:rStyle w:val="Uwydatnienie"/>
          <w:rFonts w:asciiTheme="minorHAnsi" w:hAnsiTheme="minorHAnsi"/>
          <w:b w:val="0"/>
          <w:bCs w:val="0"/>
        </w:rPr>
        <w:t xml:space="preserve">przez projektanta </w:t>
      </w:r>
      <w:r w:rsidR="009F6D37" w:rsidRPr="00480F2D">
        <w:rPr>
          <w:rStyle w:val="Uwydatnienie"/>
          <w:rFonts w:asciiTheme="minorHAnsi" w:hAnsiTheme="minorHAnsi"/>
          <w:b w:val="0"/>
          <w:bCs w:val="0"/>
        </w:rPr>
        <w:t>stosownymi wy</w:t>
      </w:r>
      <w:r w:rsidR="003E05AC" w:rsidRPr="00480F2D">
        <w:rPr>
          <w:rStyle w:val="Uwydatnienie"/>
          <w:rFonts w:asciiTheme="minorHAnsi" w:hAnsiTheme="minorHAnsi"/>
          <w:b w:val="0"/>
          <w:bCs w:val="0"/>
        </w:rPr>
        <w:t xml:space="preserve">liczeniami mającymi </w:t>
      </w:r>
      <w:r w:rsidR="002B7BC6" w:rsidRPr="00480F2D">
        <w:rPr>
          <w:rStyle w:val="Uwydatnienie"/>
          <w:rFonts w:asciiTheme="minorHAnsi" w:hAnsiTheme="minorHAnsi"/>
          <w:b w:val="0"/>
          <w:bCs w:val="0"/>
        </w:rPr>
        <w:t xml:space="preserve">swoje </w:t>
      </w:r>
      <w:r w:rsidR="003E05AC" w:rsidRPr="00480F2D">
        <w:rPr>
          <w:rStyle w:val="Uwydatnienie"/>
          <w:rFonts w:asciiTheme="minorHAnsi" w:hAnsiTheme="minorHAnsi"/>
          <w:b w:val="0"/>
          <w:bCs w:val="0"/>
        </w:rPr>
        <w:t xml:space="preserve">odzwierciedlenie oraz uzasadnienie w ujęciu </w:t>
      </w:r>
      <w:r w:rsidR="002B7BC6" w:rsidRPr="00480F2D">
        <w:rPr>
          <w:rStyle w:val="Uwydatnienie"/>
          <w:rFonts w:asciiTheme="minorHAnsi" w:hAnsiTheme="minorHAnsi"/>
          <w:b w:val="0"/>
          <w:bCs w:val="0"/>
        </w:rPr>
        <w:t>terminowym</w:t>
      </w:r>
      <w:r w:rsidR="00372502" w:rsidRPr="00480F2D">
        <w:rPr>
          <w:rStyle w:val="Uwydatnienie"/>
          <w:rFonts w:asciiTheme="minorHAnsi" w:hAnsiTheme="minorHAnsi"/>
          <w:b w:val="0"/>
          <w:bCs w:val="0"/>
        </w:rPr>
        <w:t xml:space="preserve">, </w:t>
      </w:r>
      <w:r w:rsidR="003E05AC" w:rsidRPr="00480F2D">
        <w:rPr>
          <w:rStyle w:val="Uwydatnienie"/>
          <w:rFonts w:asciiTheme="minorHAnsi" w:hAnsiTheme="minorHAnsi"/>
          <w:b w:val="0"/>
          <w:bCs w:val="0"/>
        </w:rPr>
        <w:t>finansowym</w:t>
      </w:r>
      <w:r w:rsidR="002B7BC6" w:rsidRPr="00480F2D">
        <w:rPr>
          <w:rStyle w:val="Uwydatnienie"/>
          <w:rFonts w:asciiTheme="minorHAnsi" w:hAnsiTheme="minorHAnsi"/>
          <w:b w:val="0"/>
          <w:bCs w:val="0"/>
        </w:rPr>
        <w:t xml:space="preserve">, </w:t>
      </w:r>
      <w:r w:rsidR="00E661B3">
        <w:rPr>
          <w:rStyle w:val="Uwydatnienie"/>
          <w:rFonts w:asciiTheme="minorHAnsi" w:hAnsiTheme="minorHAnsi"/>
          <w:b w:val="0"/>
          <w:bCs w:val="0"/>
        </w:rPr>
        <w:t>oraz</w:t>
      </w:r>
      <w:r w:rsidR="00E661B3" w:rsidRPr="00480F2D">
        <w:rPr>
          <w:rStyle w:val="Uwydatnienie"/>
          <w:rFonts w:asciiTheme="minorHAnsi" w:hAnsiTheme="minorHAnsi"/>
          <w:b w:val="0"/>
          <w:bCs w:val="0"/>
        </w:rPr>
        <w:t xml:space="preserve"> </w:t>
      </w:r>
      <w:r w:rsidR="00372502" w:rsidRPr="00480F2D">
        <w:rPr>
          <w:rStyle w:val="Uwydatnienie"/>
          <w:rFonts w:asciiTheme="minorHAnsi" w:hAnsiTheme="minorHAnsi"/>
          <w:b w:val="0"/>
          <w:bCs w:val="0"/>
        </w:rPr>
        <w:t xml:space="preserve">korzyści wynikających dla Zamawiającego w ujęciu </w:t>
      </w:r>
      <w:r w:rsidR="002B7BC6" w:rsidRPr="00480F2D">
        <w:rPr>
          <w:rStyle w:val="Uwydatnienie"/>
          <w:rFonts w:asciiTheme="minorHAnsi" w:hAnsiTheme="minorHAnsi"/>
          <w:b w:val="0"/>
          <w:bCs w:val="0"/>
        </w:rPr>
        <w:t>społecz</w:t>
      </w:r>
      <w:r w:rsidR="00AF67D7" w:rsidRPr="00480F2D">
        <w:rPr>
          <w:rStyle w:val="Uwydatnienie"/>
          <w:rFonts w:asciiTheme="minorHAnsi" w:hAnsiTheme="minorHAnsi"/>
          <w:b w:val="0"/>
          <w:bCs w:val="0"/>
        </w:rPr>
        <w:t>nym np. mniejsze utrudnienia w ruchu</w:t>
      </w:r>
      <w:r w:rsidRPr="00480F2D">
        <w:rPr>
          <w:rStyle w:val="Uwydatnienie"/>
          <w:rFonts w:asciiTheme="minorHAnsi" w:hAnsiTheme="minorHAnsi"/>
          <w:b w:val="0"/>
          <w:bCs w:val="0"/>
        </w:rPr>
        <w:t xml:space="preserve"> drogowym</w:t>
      </w:r>
      <w:r w:rsidR="005D5A03" w:rsidRPr="00480F2D">
        <w:rPr>
          <w:rStyle w:val="Uwydatnienie"/>
          <w:rFonts w:asciiTheme="minorHAnsi" w:hAnsiTheme="minorHAnsi"/>
          <w:b w:val="0"/>
          <w:bCs w:val="0"/>
        </w:rPr>
        <w:t xml:space="preserve"> w trakcie realizacji robót</w:t>
      </w:r>
      <w:r w:rsidR="00E661B3">
        <w:rPr>
          <w:rStyle w:val="Uwydatnienie"/>
          <w:rFonts w:asciiTheme="minorHAnsi" w:hAnsiTheme="minorHAnsi"/>
          <w:b w:val="0"/>
          <w:bCs w:val="0"/>
        </w:rPr>
        <w:t xml:space="preserve"> budowlanych</w:t>
      </w:r>
      <w:r w:rsidR="005D5A03" w:rsidRPr="00480F2D">
        <w:rPr>
          <w:rStyle w:val="Uwydatnienie"/>
          <w:rFonts w:asciiTheme="minorHAnsi" w:hAnsiTheme="minorHAnsi"/>
          <w:b w:val="0"/>
          <w:bCs w:val="0"/>
        </w:rPr>
        <w:t>.</w:t>
      </w:r>
    </w:p>
    <w:p w14:paraId="1B2831CB" w14:textId="18767A5D" w:rsidR="00AE176E" w:rsidRPr="00480F2D" w:rsidRDefault="00AE176E" w:rsidP="00480F2D">
      <w:pPr>
        <w:pStyle w:val="NormalnyWeb"/>
        <w:rPr>
          <w:i/>
          <w:iCs/>
        </w:rPr>
      </w:pPr>
      <w:r w:rsidRPr="00480F2D">
        <w:rPr>
          <w:rStyle w:val="Uwydatnienie"/>
          <w:rFonts w:asciiTheme="minorHAnsi" w:hAnsiTheme="minorHAnsi"/>
          <w:b w:val="0"/>
          <w:bCs w:val="0"/>
        </w:rPr>
        <w:t xml:space="preserve">Projekt wykonawczy musi zawierać rysunki w skali uwzględniającej specyfikę zamawianych robót </w:t>
      </w:r>
      <w:r w:rsidRPr="00480F2D">
        <w:rPr>
          <w:rStyle w:val="Uwydatnienie"/>
          <w:rFonts w:asciiTheme="minorHAnsi" w:hAnsiTheme="minorHAnsi"/>
          <w:b w:val="0"/>
          <w:bCs w:val="0"/>
        </w:rPr>
        <w:br/>
        <w:t xml:space="preserve">i zastosowanych </w:t>
      </w:r>
      <w:proofErr w:type="spellStart"/>
      <w:r w:rsidRPr="00480F2D">
        <w:rPr>
          <w:rStyle w:val="Uwydatnienie"/>
          <w:rFonts w:asciiTheme="minorHAnsi" w:hAnsiTheme="minorHAnsi"/>
          <w:b w:val="0"/>
          <w:bCs w:val="0"/>
        </w:rPr>
        <w:t>skal</w:t>
      </w:r>
      <w:proofErr w:type="spellEnd"/>
      <w:r w:rsidRPr="00480F2D">
        <w:rPr>
          <w:rStyle w:val="Uwydatnienie"/>
          <w:rFonts w:asciiTheme="minorHAnsi" w:hAnsiTheme="minorHAnsi"/>
          <w:b w:val="0"/>
          <w:bCs w:val="0"/>
        </w:rPr>
        <w:t xml:space="preserve"> rysunków w projekcie budowlanym</w:t>
      </w:r>
      <w:r w:rsidR="007955E7" w:rsidRPr="00480F2D">
        <w:rPr>
          <w:rStyle w:val="Uwydatnienie"/>
          <w:rFonts w:asciiTheme="minorHAnsi" w:hAnsiTheme="minorHAnsi"/>
          <w:b w:val="0"/>
          <w:bCs w:val="0"/>
        </w:rPr>
        <w:t>,</w:t>
      </w:r>
      <w:r w:rsidRPr="00480F2D">
        <w:rPr>
          <w:rStyle w:val="Uwydatnienie"/>
          <w:rFonts w:asciiTheme="minorHAnsi" w:hAnsiTheme="minorHAnsi"/>
          <w:b w:val="0"/>
          <w:bCs w:val="0"/>
        </w:rPr>
        <w:t xml:space="preserve"> wraz z wyjaśnieniami opisowymi, obliczeniami oraz analizami, które dotyczą:</w:t>
      </w:r>
    </w:p>
    <w:p w14:paraId="0E226A33" w14:textId="3CB3099C" w:rsidR="00DE759B" w:rsidRPr="00480F2D" w:rsidRDefault="00DE759B" w:rsidP="00480F2D">
      <w:pPr>
        <w:pStyle w:val="NormalnyWeb"/>
        <w:numPr>
          <w:ilvl w:val="0"/>
          <w:numId w:val="5"/>
        </w:numPr>
        <w:rPr>
          <w:rStyle w:val="Uwydatnienie"/>
          <w:rFonts w:asciiTheme="minorHAnsi" w:hAnsiTheme="minorHAnsi"/>
          <w:b w:val="0"/>
          <w:bCs w:val="0"/>
          <w:i/>
          <w:iCs/>
        </w:rPr>
      </w:pPr>
      <w:r w:rsidRPr="00480F2D">
        <w:rPr>
          <w:rStyle w:val="Uwydatnienie"/>
          <w:rFonts w:asciiTheme="minorHAnsi" w:hAnsiTheme="minorHAnsi"/>
          <w:b w:val="0"/>
          <w:bCs w:val="0"/>
        </w:rPr>
        <w:t xml:space="preserve">Wykonanie dokumentacji wykonawczej dla zakresu </w:t>
      </w:r>
      <w:r w:rsidR="004F2689" w:rsidRPr="00480F2D">
        <w:rPr>
          <w:rStyle w:val="Uwydatnienie"/>
          <w:rFonts w:asciiTheme="minorHAnsi" w:hAnsiTheme="minorHAnsi"/>
          <w:b w:val="0"/>
          <w:bCs w:val="0"/>
        </w:rPr>
        <w:t>– po 3 egzemplarze</w:t>
      </w:r>
      <w:r w:rsidR="00E661B3">
        <w:rPr>
          <w:rStyle w:val="Uwydatnienie"/>
          <w:rFonts w:asciiTheme="minorHAnsi" w:hAnsiTheme="minorHAnsi"/>
          <w:b w:val="0"/>
          <w:bCs w:val="0"/>
        </w:rPr>
        <w:t>:</w:t>
      </w:r>
    </w:p>
    <w:p w14:paraId="2F296E87" w14:textId="3B8483B5" w:rsidR="00DE759B" w:rsidRPr="00480F2D" w:rsidRDefault="00DE759B" w:rsidP="00480F2D">
      <w:pPr>
        <w:pStyle w:val="NormalnyWeb"/>
        <w:numPr>
          <w:ilvl w:val="0"/>
          <w:numId w:val="26"/>
        </w:numPr>
        <w:rPr>
          <w:rStyle w:val="Uwydatnienie"/>
          <w:rFonts w:asciiTheme="minorHAnsi" w:hAnsiTheme="minorHAnsi"/>
          <w:b w:val="0"/>
          <w:bCs w:val="0"/>
        </w:rPr>
      </w:pPr>
      <w:r w:rsidRPr="00480F2D">
        <w:rPr>
          <w:rStyle w:val="Uwydatnienie"/>
          <w:rFonts w:asciiTheme="minorHAnsi" w:hAnsiTheme="minorHAnsi"/>
          <w:b w:val="0"/>
          <w:bCs w:val="0"/>
        </w:rPr>
        <w:t>przebudowa istniejącego oświetlenia ulicznego</w:t>
      </w:r>
      <w:r w:rsidR="00E661B3">
        <w:rPr>
          <w:rStyle w:val="Uwydatnienie"/>
          <w:rFonts w:asciiTheme="minorHAnsi" w:hAnsiTheme="minorHAnsi"/>
          <w:b w:val="0"/>
          <w:bCs w:val="0"/>
        </w:rPr>
        <w:t>,</w:t>
      </w:r>
    </w:p>
    <w:p w14:paraId="1A39614E" w14:textId="65BD8F04" w:rsidR="004F2689" w:rsidRPr="00480F2D" w:rsidRDefault="00DE759B" w:rsidP="00480F2D">
      <w:pPr>
        <w:pStyle w:val="NormalnyWeb"/>
        <w:numPr>
          <w:ilvl w:val="0"/>
          <w:numId w:val="26"/>
        </w:numPr>
        <w:rPr>
          <w:rStyle w:val="Uwydatnienie"/>
          <w:rFonts w:asciiTheme="minorHAnsi" w:hAnsiTheme="minorHAnsi"/>
          <w:b w:val="0"/>
          <w:bCs w:val="0"/>
        </w:rPr>
      </w:pPr>
      <w:r w:rsidRPr="00480F2D">
        <w:rPr>
          <w:rStyle w:val="Uwydatnienie"/>
          <w:rFonts w:asciiTheme="minorHAnsi" w:hAnsiTheme="minorHAnsi"/>
          <w:b w:val="0"/>
          <w:bCs w:val="0"/>
        </w:rPr>
        <w:t>budowa kanalizacji deszczowej</w:t>
      </w:r>
      <w:r w:rsidR="00E661B3">
        <w:rPr>
          <w:rStyle w:val="Uwydatnienie"/>
          <w:rFonts w:asciiTheme="minorHAnsi" w:hAnsiTheme="minorHAnsi"/>
          <w:b w:val="0"/>
          <w:bCs w:val="0"/>
        </w:rPr>
        <w:t>,</w:t>
      </w:r>
    </w:p>
    <w:p w14:paraId="7681AAC2" w14:textId="34248B9C" w:rsidR="00DE759B" w:rsidRPr="00480F2D" w:rsidRDefault="004F2689" w:rsidP="00480F2D">
      <w:pPr>
        <w:pStyle w:val="NormalnyWeb"/>
        <w:numPr>
          <w:ilvl w:val="0"/>
          <w:numId w:val="26"/>
        </w:numPr>
        <w:rPr>
          <w:rStyle w:val="Uwydatnienie"/>
          <w:rFonts w:asciiTheme="minorHAnsi" w:hAnsiTheme="minorHAnsi"/>
          <w:b w:val="0"/>
          <w:bCs w:val="0"/>
        </w:rPr>
      </w:pPr>
      <w:r w:rsidRPr="00480F2D">
        <w:rPr>
          <w:rStyle w:val="Uwydatnienie"/>
          <w:rFonts w:asciiTheme="minorHAnsi" w:hAnsiTheme="minorHAnsi"/>
          <w:b w:val="0"/>
          <w:bCs w:val="0"/>
        </w:rPr>
        <w:t>budowa układu drogowego</w:t>
      </w:r>
      <w:r w:rsidR="00E661B3">
        <w:rPr>
          <w:rStyle w:val="Uwydatnienie"/>
          <w:rFonts w:asciiTheme="minorHAnsi" w:hAnsiTheme="minorHAnsi"/>
          <w:b w:val="0"/>
          <w:bCs w:val="0"/>
        </w:rPr>
        <w:t>.</w:t>
      </w:r>
      <w:r w:rsidR="00DE759B" w:rsidRPr="00480F2D">
        <w:rPr>
          <w:rStyle w:val="Uwydatnienie"/>
          <w:rFonts w:asciiTheme="minorHAnsi" w:hAnsiTheme="minorHAnsi"/>
          <w:b w:val="0"/>
          <w:bCs w:val="0"/>
        </w:rPr>
        <w:t xml:space="preserve">  </w:t>
      </w:r>
    </w:p>
    <w:p w14:paraId="700AFDC1" w14:textId="08ED2EA0" w:rsidR="00AE176E" w:rsidRPr="00480F2D" w:rsidRDefault="00AE176E" w:rsidP="00480F2D">
      <w:pPr>
        <w:pStyle w:val="NormalnyWeb"/>
        <w:numPr>
          <w:ilvl w:val="0"/>
          <w:numId w:val="5"/>
        </w:numPr>
        <w:rPr>
          <w:rStyle w:val="Uwydatnienie"/>
          <w:rFonts w:asciiTheme="minorHAnsi" w:hAnsiTheme="minorHAnsi"/>
          <w:b w:val="0"/>
          <w:bCs w:val="0"/>
          <w:i/>
          <w:iCs/>
        </w:rPr>
      </w:pPr>
      <w:r w:rsidRPr="00480F2D">
        <w:rPr>
          <w:rStyle w:val="Uwydatnienie"/>
          <w:rFonts w:asciiTheme="minorHAnsi" w:hAnsiTheme="minorHAnsi"/>
          <w:b w:val="0"/>
          <w:bCs w:val="0"/>
        </w:rPr>
        <w:t xml:space="preserve">wykonania kosztorysów i przedmiarów robót, wykonania przedmiarów robót – </w:t>
      </w:r>
      <w:r w:rsidR="003E0DEC" w:rsidRPr="00480F2D">
        <w:rPr>
          <w:rStyle w:val="Uwydatnienie"/>
          <w:rFonts w:asciiTheme="minorHAnsi" w:hAnsiTheme="minorHAnsi"/>
          <w:b w:val="0"/>
          <w:bCs w:val="0"/>
        </w:rPr>
        <w:t xml:space="preserve">oferta </w:t>
      </w:r>
      <w:r w:rsidRPr="00480F2D">
        <w:rPr>
          <w:rStyle w:val="Uwydatnienie"/>
          <w:rFonts w:asciiTheme="minorHAnsi" w:hAnsiTheme="minorHAnsi"/>
          <w:b w:val="0"/>
          <w:bCs w:val="0"/>
        </w:rPr>
        <w:t>(Tabel Elementów Rozliczeniowych T.E.R.) – 2 egzemplarze</w:t>
      </w:r>
      <w:r w:rsidR="00EC406E" w:rsidRPr="00480F2D">
        <w:rPr>
          <w:rStyle w:val="Uwydatnienie"/>
          <w:rFonts w:asciiTheme="minorHAnsi" w:hAnsiTheme="minorHAnsi"/>
          <w:b w:val="0"/>
          <w:bCs w:val="0"/>
        </w:rPr>
        <w:t>;</w:t>
      </w:r>
    </w:p>
    <w:p w14:paraId="70B5BA1D" w14:textId="6E953834" w:rsidR="00AE176E" w:rsidRPr="00480F2D" w:rsidRDefault="00AE176E" w:rsidP="00480F2D">
      <w:pPr>
        <w:pStyle w:val="NormalnyWeb"/>
        <w:numPr>
          <w:ilvl w:val="0"/>
          <w:numId w:val="5"/>
        </w:numPr>
        <w:rPr>
          <w:rStyle w:val="Uwydatnienie"/>
          <w:rFonts w:asciiTheme="minorHAnsi" w:hAnsiTheme="minorHAnsi"/>
          <w:b w:val="0"/>
          <w:bCs w:val="0"/>
          <w:i/>
          <w:iCs/>
        </w:rPr>
      </w:pPr>
      <w:r w:rsidRPr="00480F2D">
        <w:rPr>
          <w:rStyle w:val="Uwydatnienie"/>
          <w:rFonts w:asciiTheme="minorHAnsi" w:hAnsiTheme="minorHAnsi"/>
          <w:b w:val="0"/>
          <w:bCs w:val="0"/>
        </w:rPr>
        <w:t>wykonanie Specyfikacji Technicznych Wykonania i Odbioru Robót (</w:t>
      </w:r>
      <w:proofErr w:type="spellStart"/>
      <w:r w:rsidRPr="00480F2D">
        <w:rPr>
          <w:rStyle w:val="Uwydatnienie"/>
          <w:rFonts w:asciiTheme="minorHAnsi" w:hAnsiTheme="minorHAnsi"/>
          <w:b w:val="0"/>
          <w:bCs w:val="0"/>
        </w:rPr>
        <w:t>STWiORB</w:t>
      </w:r>
      <w:proofErr w:type="spellEnd"/>
      <w:r w:rsidRPr="00480F2D">
        <w:rPr>
          <w:rStyle w:val="Uwydatnienie"/>
          <w:rFonts w:asciiTheme="minorHAnsi" w:hAnsiTheme="minorHAnsi"/>
          <w:b w:val="0"/>
          <w:bCs w:val="0"/>
        </w:rPr>
        <w:t>), odnośnie opisów, przyjętych rozwiązań technicznych, jak i przyjętych materiałów – 3 egzemplarze</w:t>
      </w:r>
      <w:r w:rsidR="00EC406E" w:rsidRPr="00480F2D">
        <w:rPr>
          <w:rStyle w:val="Uwydatnienie"/>
          <w:rFonts w:asciiTheme="minorHAnsi" w:hAnsiTheme="minorHAnsi"/>
          <w:b w:val="0"/>
          <w:bCs w:val="0"/>
        </w:rPr>
        <w:t>;</w:t>
      </w:r>
    </w:p>
    <w:p w14:paraId="06B1E50C" w14:textId="78E9FA0C" w:rsidR="00AE176E" w:rsidRPr="00480F2D" w:rsidRDefault="00AE176E" w:rsidP="00480F2D">
      <w:pPr>
        <w:pStyle w:val="NormalnyWeb"/>
        <w:numPr>
          <w:ilvl w:val="0"/>
          <w:numId w:val="5"/>
        </w:numPr>
        <w:rPr>
          <w:rStyle w:val="Uwydatnienie"/>
          <w:rFonts w:asciiTheme="minorHAnsi" w:hAnsiTheme="minorHAnsi"/>
          <w:b w:val="0"/>
          <w:bCs w:val="0"/>
          <w:i/>
          <w:iCs/>
        </w:rPr>
      </w:pPr>
      <w:r w:rsidRPr="00480F2D">
        <w:rPr>
          <w:rStyle w:val="Uwydatnienie"/>
          <w:rFonts w:asciiTheme="minorHAnsi" w:hAnsiTheme="minorHAnsi"/>
          <w:b w:val="0"/>
          <w:bCs w:val="0"/>
        </w:rPr>
        <w:t>projekt tablicy informacyjnej</w:t>
      </w:r>
      <w:r w:rsidR="00EC406E" w:rsidRPr="00480F2D">
        <w:rPr>
          <w:rStyle w:val="Uwydatnienie"/>
          <w:rFonts w:asciiTheme="minorHAnsi" w:hAnsiTheme="minorHAnsi"/>
          <w:b w:val="0"/>
          <w:bCs w:val="0"/>
        </w:rPr>
        <w:t xml:space="preserve">, zgodnie </w:t>
      </w:r>
      <w:r w:rsidR="00632B27" w:rsidRPr="00480F2D">
        <w:rPr>
          <w:rStyle w:val="Uwydatnienie"/>
          <w:rFonts w:asciiTheme="minorHAnsi" w:hAnsiTheme="minorHAnsi"/>
          <w:b w:val="0"/>
          <w:bCs w:val="0"/>
        </w:rPr>
        <w:t xml:space="preserve">z </w:t>
      </w:r>
      <w:r w:rsidR="004F2689" w:rsidRPr="00480F2D">
        <w:rPr>
          <w:rStyle w:val="Uwydatnienie"/>
          <w:rFonts w:asciiTheme="minorHAnsi" w:hAnsiTheme="minorHAnsi"/>
          <w:b w:val="0"/>
          <w:bCs w:val="0"/>
        </w:rPr>
        <w:t>zapisami Umo</w:t>
      </w:r>
      <w:r w:rsidR="007955E7" w:rsidRPr="00480F2D">
        <w:rPr>
          <w:rStyle w:val="Uwydatnienie"/>
          <w:rFonts w:asciiTheme="minorHAnsi" w:hAnsiTheme="minorHAnsi"/>
          <w:b w:val="0"/>
          <w:bCs w:val="0"/>
        </w:rPr>
        <w:t>wy</w:t>
      </w:r>
      <w:r w:rsidR="004F2689" w:rsidRPr="00480F2D">
        <w:rPr>
          <w:rStyle w:val="Uwydatnienie"/>
          <w:rFonts w:asciiTheme="minorHAnsi" w:hAnsiTheme="minorHAnsi"/>
          <w:b w:val="0"/>
          <w:bCs w:val="0"/>
        </w:rPr>
        <w:t xml:space="preserve"> </w:t>
      </w:r>
      <w:r w:rsidR="00632B27" w:rsidRPr="00480F2D">
        <w:rPr>
          <w:rStyle w:val="Uwydatnienie"/>
          <w:rFonts w:asciiTheme="minorHAnsi" w:hAnsiTheme="minorHAnsi"/>
          <w:b w:val="0"/>
          <w:bCs w:val="0"/>
        </w:rPr>
        <w:t>§ 2 ust. 12</w:t>
      </w:r>
    </w:p>
    <w:p w14:paraId="6E12950B" w14:textId="707A3559" w:rsidR="00596C1B" w:rsidRPr="00480F2D" w:rsidRDefault="00596C1B" w:rsidP="00480F2D">
      <w:pPr>
        <w:pStyle w:val="Akapitzlist"/>
        <w:numPr>
          <w:ilvl w:val="0"/>
          <w:numId w:val="5"/>
        </w:numPr>
        <w:rPr>
          <w:rFonts w:cs="Arial-BoldMT"/>
        </w:rPr>
      </w:pPr>
      <w:r w:rsidRPr="00480F2D">
        <w:t xml:space="preserve">Wykonanie badań geologicznych wraz z opracowaniem dokumentacji </w:t>
      </w:r>
      <w:r w:rsidR="0098011D" w:rsidRPr="00480F2D">
        <w:rPr>
          <w:lang w:val="pl-PL"/>
        </w:rPr>
        <w:t xml:space="preserve">zgodnie z </w:t>
      </w:r>
      <w:r w:rsidR="004F2689" w:rsidRPr="00480F2D">
        <w:rPr>
          <w:lang w:val="pl-PL"/>
        </w:rPr>
        <w:t>Umow</w:t>
      </w:r>
      <w:r w:rsidR="005D5A03" w:rsidRPr="00480F2D">
        <w:rPr>
          <w:lang w:val="pl-PL"/>
        </w:rPr>
        <w:t>ą</w:t>
      </w:r>
      <w:r w:rsidR="004F2689" w:rsidRPr="00480F2D">
        <w:rPr>
          <w:lang w:val="pl-PL"/>
        </w:rPr>
        <w:t xml:space="preserve"> </w:t>
      </w:r>
      <w:r w:rsidR="0098011D" w:rsidRPr="00480F2D">
        <w:rPr>
          <w:lang w:val="pl-PL"/>
        </w:rPr>
        <w:t>par 2 ust 5</w:t>
      </w:r>
      <w:r w:rsidR="005D5A03" w:rsidRPr="00480F2D">
        <w:rPr>
          <w:lang w:val="pl-PL"/>
        </w:rPr>
        <w:t>.</w:t>
      </w:r>
      <w:r w:rsidR="0098011D" w:rsidRPr="00480F2D">
        <w:rPr>
          <w:lang w:val="pl-PL"/>
        </w:rPr>
        <w:t xml:space="preserve"> </w:t>
      </w:r>
      <w:r w:rsidRPr="00480F2D">
        <w:t xml:space="preserve">w </w:t>
      </w:r>
      <w:r w:rsidR="005D5A03" w:rsidRPr="00480F2D">
        <w:rPr>
          <w:lang w:val="pl-PL"/>
        </w:rPr>
        <w:t xml:space="preserve">ilości 2 egzemplarze w </w:t>
      </w:r>
      <w:r w:rsidRPr="00480F2D">
        <w:t>wersji papierowej jak i cyfrowej</w:t>
      </w:r>
      <w:r w:rsidR="005D5A03" w:rsidRPr="00480F2D">
        <w:rPr>
          <w:lang w:val="pl-PL"/>
        </w:rPr>
        <w:t>.</w:t>
      </w:r>
      <w:r w:rsidRPr="00480F2D">
        <w:t xml:space="preserve"> </w:t>
      </w:r>
    </w:p>
    <w:p w14:paraId="46DFFC1D" w14:textId="0AAE2856" w:rsidR="004F2689" w:rsidRPr="00480F2D" w:rsidRDefault="00AF67D7" w:rsidP="00480F2D">
      <w:pPr>
        <w:pStyle w:val="NormalnyWeb"/>
        <w:rPr>
          <w:rStyle w:val="Uwydatnienie"/>
          <w:rFonts w:asciiTheme="minorHAnsi" w:hAnsiTheme="minorHAnsi"/>
          <w:b w:val="0"/>
          <w:bCs w:val="0"/>
        </w:rPr>
      </w:pPr>
      <w:r w:rsidRPr="00480F2D">
        <w:rPr>
          <w:rStyle w:val="Uwydatnienie"/>
          <w:rFonts w:asciiTheme="minorHAnsi" w:hAnsiTheme="minorHAnsi"/>
          <w:b w:val="0"/>
          <w:bCs w:val="0"/>
        </w:rPr>
        <w:t xml:space="preserve">Projekt wykonawczy </w:t>
      </w:r>
      <w:r w:rsidR="00454126" w:rsidRPr="00480F2D">
        <w:rPr>
          <w:rStyle w:val="Uwydatnienie"/>
          <w:rFonts w:asciiTheme="minorHAnsi" w:hAnsiTheme="minorHAnsi"/>
          <w:b w:val="0"/>
          <w:bCs w:val="0"/>
        </w:rPr>
        <w:t xml:space="preserve">oraz inne dokumenty powinny być </w:t>
      </w:r>
      <w:r w:rsidRPr="00480F2D">
        <w:rPr>
          <w:rStyle w:val="Uwydatnienie"/>
          <w:rFonts w:asciiTheme="minorHAnsi" w:hAnsiTheme="minorHAnsi"/>
          <w:b w:val="0"/>
          <w:bCs w:val="0"/>
        </w:rPr>
        <w:t>tak przygotowan</w:t>
      </w:r>
      <w:r w:rsidR="00454126" w:rsidRPr="00480F2D">
        <w:rPr>
          <w:rStyle w:val="Uwydatnienie"/>
          <w:rFonts w:asciiTheme="minorHAnsi" w:hAnsiTheme="minorHAnsi"/>
          <w:b w:val="0"/>
          <w:bCs w:val="0"/>
        </w:rPr>
        <w:t>e</w:t>
      </w:r>
      <w:r w:rsidRPr="00480F2D">
        <w:rPr>
          <w:rStyle w:val="Uwydatnienie"/>
          <w:rFonts w:asciiTheme="minorHAnsi" w:hAnsiTheme="minorHAnsi"/>
          <w:b w:val="0"/>
          <w:bCs w:val="0"/>
        </w:rPr>
        <w:t xml:space="preserve"> by na jego podstawie zostało przygotowane </w:t>
      </w:r>
      <w:r w:rsidR="00454126" w:rsidRPr="00480F2D">
        <w:rPr>
          <w:rStyle w:val="Uwydatnienie"/>
          <w:rFonts w:asciiTheme="minorHAnsi" w:hAnsiTheme="minorHAnsi"/>
          <w:b w:val="0"/>
          <w:bCs w:val="0"/>
        </w:rPr>
        <w:t xml:space="preserve">przez Zamawiającego </w:t>
      </w:r>
      <w:r w:rsidRPr="00480F2D">
        <w:rPr>
          <w:rStyle w:val="Uwydatnienie"/>
          <w:rFonts w:asciiTheme="minorHAnsi" w:hAnsiTheme="minorHAnsi"/>
          <w:b w:val="0"/>
          <w:bCs w:val="0"/>
        </w:rPr>
        <w:t>postępowanie  przetargowe</w:t>
      </w:r>
      <w:r w:rsidR="007955E7" w:rsidRPr="00480F2D">
        <w:rPr>
          <w:rStyle w:val="Uwydatnienie"/>
          <w:rFonts w:asciiTheme="minorHAnsi" w:hAnsiTheme="minorHAnsi"/>
          <w:b w:val="0"/>
          <w:bCs w:val="0"/>
        </w:rPr>
        <w:t xml:space="preserve"> na wyłonienie Wykonawcy robót budowlanych.</w:t>
      </w:r>
    </w:p>
    <w:p w14:paraId="1FCA690F" w14:textId="39BA275D" w:rsidR="00AF67D7" w:rsidRDefault="00AF67D7" w:rsidP="00480F2D">
      <w:pPr>
        <w:pStyle w:val="NormalnyWeb"/>
        <w:rPr>
          <w:rStyle w:val="Hipercze"/>
          <w:rFonts w:asciiTheme="minorHAnsi" w:hAnsiTheme="minorHAnsi" w:cs="ArialMT"/>
        </w:rPr>
      </w:pPr>
      <w:r w:rsidRPr="00480F2D">
        <w:rPr>
          <w:rStyle w:val="Uwydatnienie"/>
          <w:rFonts w:asciiTheme="minorHAnsi" w:hAnsiTheme="minorHAnsi"/>
          <w:b w:val="0"/>
          <w:bCs w:val="0"/>
        </w:rPr>
        <w:t xml:space="preserve">Projekty wykonawcze </w:t>
      </w:r>
      <w:r w:rsidR="001824BC" w:rsidRPr="00480F2D">
        <w:rPr>
          <w:rStyle w:val="Uwydatnienie"/>
          <w:rFonts w:asciiTheme="minorHAnsi" w:hAnsiTheme="minorHAnsi"/>
          <w:b w:val="0"/>
          <w:bCs w:val="0"/>
        </w:rPr>
        <w:t xml:space="preserve">dodatkowo </w:t>
      </w:r>
      <w:r w:rsidRPr="00480F2D">
        <w:rPr>
          <w:rStyle w:val="Uwydatnienie"/>
          <w:rFonts w:asciiTheme="minorHAnsi" w:hAnsiTheme="minorHAnsi"/>
          <w:b w:val="0"/>
          <w:bCs w:val="0"/>
        </w:rPr>
        <w:t xml:space="preserve">muszą </w:t>
      </w:r>
      <w:r w:rsidR="004F2689" w:rsidRPr="00480F2D">
        <w:rPr>
          <w:rStyle w:val="Uwydatnienie"/>
          <w:rFonts w:asciiTheme="minorHAnsi" w:hAnsiTheme="minorHAnsi"/>
          <w:b w:val="0"/>
          <w:bCs w:val="0"/>
        </w:rPr>
        <w:t xml:space="preserve">być dostosowane oraz </w:t>
      </w:r>
      <w:r w:rsidRPr="00480F2D">
        <w:rPr>
          <w:rStyle w:val="Uwydatnienie"/>
          <w:rFonts w:asciiTheme="minorHAnsi" w:hAnsiTheme="minorHAnsi"/>
          <w:b w:val="0"/>
          <w:bCs w:val="0"/>
        </w:rPr>
        <w:t xml:space="preserve">spełniać </w:t>
      </w:r>
      <w:r w:rsidRPr="00480F2D">
        <w:rPr>
          <w:rFonts w:asciiTheme="minorHAnsi" w:hAnsiTheme="minorHAnsi"/>
        </w:rPr>
        <w:t>wytyczne ZDM</w:t>
      </w:r>
      <w:r w:rsidR="004F2689" w:rsidRPr="00480F2D">
        <w:rPr>
          <w:rFonts w:asciiTheme="minorHAnsi" w:hAnsiTheme="minorHAnsi"/>
        </w:rPr>
        <w:t>,</w:t>
      </w:r>
      <w:r w:rsidRPr="00480F2D">
        <w:rPr>
          <w:rFonts w:asciiTheme="minorHAnsi" w:hAnsiTheme="minorHAnsi"/>
        </w:rPr>
        <w:t xml:space="preserve"> zawarte na stronie </w:t>
      </w:r>
      <w:r w:rsidR="004F2689" w:rsidRPr="00480F2D">
        <w:rPr>
          <w:rFonts w:asciiTheme="minorHAnsi" w:hAnsiTheme="minorHAnsi"/>
        </w:rPr>
        <w:t xml:space="preserve">Internetowej </w:t>
      </w:r>
      <w:r w:rsidRPr="00480F2D">
        <w:rPr>
          <w:rFonts w:asciiTheme="minorHAnsi" w:hAnsiTheme="minorHAnsi"/>
        </w:rPr>
        <w:t xml:space="preserve">Zarządu Dróg Miejskich </w:t>
      </w:r>
      <w:hyperlink r:id="rId7" w:history="1">
        <w:r w:rsidRPr="00480F2D">
          <w:rPr>
            <w:rStyle w:val="Hipercze"/>
            <w:rFonts w:asciiTheme="minorHAnsi" w:hAnsiTheme="minorHAnsi" w:cs="ArialMT"/>
          </w:rPr>
          <w:t>https://zdm.poznan.pl/pl/wytyczne-zdm-do-projektowania</w:t>
        </w:r>
      </w:hyperlink>
    </w:p>
    <w:p w14:paraId="71ACB03C" w14:textId="77777777" w:rsidR="00AE176E" w:rsidRPr="00596C1B" w:rsidRDefault="00AE176E" w:rsidP="00480F2D"/>
    <w:p w14:paraId="26BCE03D" w14:textId="2100FA0A" w:rsidR="00AE176E" w:rsidRPr="001C28B5" w:rsidRDefault="00AE176E" w:rsidP="00813181">
      <w:pPr>
        <w:pStyle w:val="Akapitzlist"/>
        <w:numPr>
          <w:ilvl w:val="0"/>
          <w:numId w:val="14"/>
        </w:numPr>
        <w:ind w:left="284" w:hanging="284"/>
      </w:pPr>
      <w:r w:rsidRPr="001C28B5">
        <w:t>Dane wyjściowe do opracowania kosztorysu inwestorskiego, przedmiaru robót, oraz specyfikacji technicznych wykonania i odbioru robót budowlanych (S.T.W.I.O.R.B</w:t>
      </w:r>
      <w:r w:rsidR="00A956C3" w:rsidRPr="001C28B5">
        <w:rPr>
          <w:lang w:val="pl-PL"/>
        </w:rPr>
        <w:t>.</w:t>
      </w:r>
      <w:r w:rsidRPr="001C28B5">
        <w:t xml:space="preserve">) </w:t>
      </w:r>
    </w:p>
    <w:p w14:paraId="36F35C47" w14:textId="77777777" w:rsidR="00AE176E" w:rsidRPr="00940422" w:rsidRDefault="00AE176E" w:rsidP="00480F2D"/>
    <w:p w14:paraId="60FBD763" w14:textId="7C61DEC7" w:rsidR="00AE176E" w:rsidRPr="00940422" w:rsidRDefault="00AE176E" w:rsidP="00813181">
      <w:pPr>
        <w:rPr>
          <w:b/>
        </w:rPr>
      </w:pPr>
      <w:r w:rsidRPr="00940422">
        <w:t>5.1. Kosztorys inwestorski</w:t>
      </w:r>
      <w:r w:rsidR="005F3E87">
        <w:t xml:space="preserve"> n</w:t>
      </w:r>
      <w:r w:rsidRPr="00940422">
        <w:t xml:space="preserve">ależy opracować wg zasad rozporządzenia Ministra Infrastruktury z dnia 18.05.2004 r. w sprawie metod i podstaw sporządzania kosztorysu inwestorskiego, obliczania planowanych kosztów prac projektowych  oraz planowanych kosztów robót budowlanych określonych w programie funkcjonalno–użytkowym, stosując metodę kalkulacji </w:t>
      </w:r>
      <w:r w:rsidRPr="00940422">
        <w:rPr>
          <w:bCs/>
        </w:rPr>
        <w:t xml:space="preserve">uproszczonej </w:t>
      </w:r>
      <w:r w:rsidRPr="00940422">
        <w:t xml:space="preserve">w oparciu o ceny jednostkowe robót określone na podstawie danych rynkowych, w tym danych z zawartych wcześniej umów lub powszechnie stosowanych, aktualnych publikacji, np. ceny jednostkowe wg informacji </w:t>
      </w:r>
      <w:r w:rsidRPr="00940422">
        <w:lastRenderedPageBreak/>
        <w:t>cenowych „ORGBUD – SERWIS” Sp. z o.o. w Poznaniu, zawarte w wydawanych kwartalnie wydawnictwach (ostatnie wydanie kwartalne).</w:t>
      </w:r>
    </w:p>
    <w:p w14:paraId="3882DCF0" w14:textId="77777777" w:rsidR="00021CF9" w:rsidRPr="00940422" w:rsidRDefault="00021CF9" w:rsidP="00480F2D"/>
    <w:p w14:paraId="0F62B337" w14:textId="790C9C83" w:rsidR="00AE176E" w:rsidRPr="00940422" w:rsidRDefault="00AE176E" w:rsidP="00480F2D">
      <w:pPr>
        <w:rPr>
          <w:b/>
        </w:rPr>
      </w:pPr>
      <w:r w:rsidRPr="00940422">
        <w:t xml:space="preserve">W przypadku braku takich cen należy dokonać kalkulacji szczegółowej ceny jednostkowej, </w:t>
      </w:r>
      <w:r w:rsidR="00E661B3">
        <w:br/>
      </w:r>
      <w:r w:rsidRPr="00940422">
        <w:t>a w przypadku ustalania jednostkowych nakładów rzeczowych należy stosować w kolejności analizę własną, a później bazę normatywną opartą na Katalogach Nakładów Rzeczowych (KNR). W przypadkach gdy brak jest odpowiednich pozycji w KNR-ach należy stosować w przedstawionej kolejności KNR-y na prawach norm zakładowych, KNNR-y, KNP lub inne oraz analizy indywidualne.</w:t>
      </w:r>
    </w:p>
    <w:p w14:paraId="5881F828" w14:textId="77777777" w:rsidR="00021CF9" w:rsidRPr="00940422" w:rsidRDefault="00021CF9" w:rsidP="00480F2D"/>
    <w:p w14:paraId="0D19F2B2" w14:textId="634F2E19" w:rsidR="00AE176E" w:rsidRPr="00940422" w:rsidRDefault="00AE176E" w:rsidP="00480F2D">
      <w:pPr>
        <w:rPr>
          <w:b/>
        </w:rPr>
      </w:pPr>
      <w:r w:rsidRPr="00940422">
        <w:t xml:space="preserve">Dla określenia nakładów o parametrach znajdujących się między poniżej lub powyżej określonymi </w:t>
      </w:r>
      <w:r w:rsidRPr="00940422">
        <w:br/>
        <w:t>w pozycjach poszczególnych katalogów</w:t>
      </w:r>
      <w:r w:rsidR="00697FA9">
        <w:t>,</w:t>
      </w:r>
      <w:r w:rsidRPr="00940422">
        <w:t xml:space="preserve"> obowiązuje zasada odpowiednia do sytuacji tj. interpolacji lub ekstrapolacji.</w:t>
      </w:r>
    </w:p>
    <w:p w14:paraId="37805A2D" w14:textId="77777777" w:rsidR="00021CF9" w:rsidRPr="00940422" w:rsidRDefault="00021CF9" w:rsidP="00480F2D"/>
    <w:p w14:paraId="52103D13" w14:textId="77777777" w:rsidR="00AE176E" w:rsidRPr="00940422" w:rsidRDefault="00AE176E" w:rsidP="00480F2D">
      <w:pPr>
        <w:rPr>
          <w:b/>
        </w:rPr>
      </w:pPr>
      <w:r w:rsidRPr="00940422">
        <w:t>Przy ustalaniu stawek i cen czynników produkcji należy stosować w kolejności analizę własną, a później średnie ceny rynkowe wg dostępnych publikacji np. „ORGBUD – SERWIS” Sp. z o.o. w Poznaniu, zawarte w wydawanym kwartalnie Informacyjnym Zestawie Cen Czynników Produkcji Budowlanej (ostatnie wydanie kwartalne).</w:t>
      </w:r>
    </w:p>
    <w:p w14:paraId="5403DBBE" w14:textId="77777777" w:rsidR="00AE176E" w:rsidRPr="00940422" w:rsidRDefault="00AE176E" w:rsidP="00480F2D">
      <w:pPr>
        <w:rPr>
          <w:b/>
        </w:rPr>
      </w:pPr>
      <w:r w:rsidRPr="00940422">
        <w:t>Ceny materiałów należy przyjąć wraz z kosztami zakupu.</w:t>
      </w:r>
    </w:p>
    <w:p w14:paraId="3311D9B2" w14:textId="77777777" w:rsidR="00021CF9" w:rsidRPr="00940422" w:rsidRDefault="00021CF9" w:rsidP="00480F2D"/>
    <w:p w14:paraId="4ED95B0E" w14:textId="77777777" w:rsidR="00AE176E" w:rsidRPr="00940422" w:rsidRDefault="00AE176E" w:rsidP="00480F2D">
      <w:pPr>
        <w:rPr>
          <w:b/>
        </w:rPr>
      </w:pPr>
      <w:r w:rsidRPr="00940422">
        <w:t>W zależności od miejsca wykonywania robót należy przyjąć odpowiednie odległości wywozu ziemi i gruzu lub innych materiałów.</w:t>
      </w:r>
    </w:p>
    <w:p w14:paraId="0386F651" w14:textId="77777777" w:rsidR="00021CF9" w:rsidRPr="00940422" w:rsidRDefault="00021CF9" w:rsidP="00480F2D"/>
    <w:p w14:paraId="6BA426D0" w14:textId="77777777" w:rsidR="00AE176E" w:rsidRPr="00940422" w:rsidRDefault="00AE176E" w:rsidP="00480F2D">
      <w:pPr>
        <w:rPr>
          <w:b/>
        </w:rPr>
      </w:pPr>
      <w:r w:rsidRPr="00940422">
        <w:t>Przy ustalaniu wskaźników narzutów kosztów pośrednich i narzutu zysku należy przyjmować średnie wielkości określone w dostępnych publikacjach np.  Serwisie Informacji Cenowych Budownictwa (ostatnie wydanie kwartalne).</w:t>
      </w:r>
    </w:p>
    <w:p w14:paraId="47638B55" w14:textId="77777777" w:rsidR="00480F2D" w:rsidRDefault="00480F2D" w:rsidP="00480F2D"/>
    <w:p w14:paraId="1371EBE8" w14:textId="04FF0B5C" w:rsidR="00AE176E" w:rsidRPr="00940422" w:rsidRDefault="00AE176E" w:rsidP="00480F2D">
      <w:pPr>
        <w:rPr>
          <w:b/>
        </w:rPr>
      </w:pPr>
      <w:r w:rsidRPr="00940422">
        <w:t>Koszty pośrednie należy stosować do R i S</w:t>
      </w:r>
      <w:r w:rsidR="00697FA9">
        <w:t>,</w:t>
      </w:r>
      <w:r w:rsidRPr="00940422">
        <w:t xml:space="preserve">  a zysk od R i S  wraz z kosztami pośrednimi. </w:t>
      </w:r>
    </w:p>
    <w:p w14:paraId="1473DDF4" w14:textId="77777777" w:rsidR="00AE176E" w:rsidRPr="00940422" w:rsidRDefault="00AE176E" w:rsidP="00480F2D">
      <w:pPr>
        <w:rPr>
          <w:b/>
        </w:rPr>
      </w:pPr>
      <w:r w:rsidRPr="00940422">
        <w:t xml:space="preserve">Kosztorys inwestorski musi zawierać: </w:t>
      </w:r>
    </w:p>
    <w:p w14:paraId="3C1695BC" w14:textId="56774614" w:rsidR="00AE176E" w:rsidRPr="00480F2D" w:rsidRDefault="00AE176E" w:rsidP="00480F2D">
      <w:pPr>
        <w:pStyle w:val="Akapitzlist"/>
        <w:numPr>
          <w:ilvl w:val="0"/>
          <w:numId w:val="23"/>
        </w:numPr>
        <w:ind w:left="284" w:hanging="284"/>
      </w:pPr>
      <w:r w:rsidRPr="00480F2D">
        <w:t>Stronę tytułową zawierającą następujące dane:</w:t>
      </w:r>
    </w:p>
    <w:p w14:paraId="497B1AB3" w14:textId="6E0980CF" w:rsidR="00AE176E" w:rsidRPr="00480F2D" w:rsidRDefault="00AE176E" w:rsidP="00480F2D">
      <w:pPr>
        <w:pStyle w:val="Akapitzlist"/>
        <w:numPr>
          <w:ilvl w:val="0"/>
          <w:numId w:val="24"/>
        </w:numPr>
      </w:pPr>
      <w:r w:rsidRPr="00480F2D">
        <w:t xml:space="preserve">nazwę obiektu lub robót budowlanych i jego lokalizację, z uwzględnieniem nazw </w:t>
      </w:r>
      <w:r w:rsidRPr="00480F2D">
        <w:br/>
        <w:t>i kodów Wspólnego Słownika Zamówień.</w:t>
      </w:r>
    </w:p>
    <w:p w14:paraId="12BC10DC" w14:textId="48E9AA1E" w:rsidR="00AE176E" w:rsidRPr="00480F2D" w:rsidRDefault="00AE176E" w:rsidP="00480F2D">
      <w:pPr>
        <w:pStyle w:val="Akapitzlist"/>
        <w:numPr>
          <w:ilvl w:val="0"/>
          <w:numId w:val="24"/>
        </w:numPr>
      </w:pPr>
      <w:r w:rsidRPr="00480F2D">
        <w:t>nazwę i adres zamawiającego,</w:t>
      </w:r>
    </w:p>
    <w:p w14:paraId="53DF7481" w14:textId="457C3EAF" w:rsidR="00AE176E" w:rsidRPr="00480F2D" w:rsidRDefault="00AE176E" w:rsidP="00480F2D">
      <w:pPr>
        <w:pStyle w:val="Akapitzlist"/>
        <w:numPr>
          <w:ilvl w:val="0"/>
          <w:numId w:val="24"/>
        </w:numPr>
      </w:pPr>
      <w:r w:rsidRPr="00480F2D">
        <w:t>nazwę i adres jednostki oraz imiona i nazwiska opracowujących kosztorys</w:t>
      </w:r>
      <w:r w:rsidR="00697FA9" w:rsidRPr="00480F2D">
        <w:rPr>
          <w:lang w:val="pl-PL"/>
        </w:rPr>
        <w:t>,</w:t>
      </w:r>
      <w:r w:rsidRPr="00480F2D">
        <w:t xml:space="preserve"> a także ich podpisy,</w:t>
      </w:r>
    </w:p>
    <w:p w14:paraId="3E8555A0" w14:textId="69869BD7" w:rsidR="00AE176E" w:rsidRPr="00480F2D" w:rsidRDefault="00AE176E" w:rsidP="00480F2D">
      <w:pPr>
        <w:pStyle w:val="Akapitzlist"/>
        <w:numPr>
          <w:ilvl w:val="0"/>
          <w:numId w:val="24"/>
        </w:numPr>
      </w:pPr>
      <w:r w:rsidRPr="00480F2D">
        <w:t>wartość kosztorysową robót (bez VAT),</w:t>
      </w:r>
    </w:p>
    <w:p w14:paraId="06FC20A2" w14:textId="4BBEDF4E" w:rsidR="00596C1B" w:rsidRPr="00480F2D" w:rsidRDefault="00AE176E" w:rsidP="00480F2D">
      <w:pPr>
        <w:pStyle w:val="Akapitzlist"/>
        <w:numPr>
          <w:ilvl w:val="0"/>
          <w:numId w:val="24"/>
        </w:numPr>
      </w:pPr>
      <w:r w:rsidRPr="00480F2D">
        <w:t>datę opracowania kosztorysu.</w:t>
      </w:r>
    </w:p>
    <w:p w14:paraId="5F9781F0" w14:textId="25644761" w:rsidR="00AE176E" w:rsidRPr="00596C1B" w:rsidRDefault="0011536E" w:rsidP="00480F2D">
      <w:pPr>
        <w:ind w:left="284" w:hanging="284"/>
        <w:rPr>
          <w:b/>
        </w:rPr>
      </w:pPr>
      <w:r>
        <w:t xml:space="preserve">2. </w:t>
      </w:r>
      <w:r w:rsidR="00AE176E" w:rsidRPr="00596C1B">
        <w:t xml:space="preserve">Ogólną charakterystyka obiektu lub robót, zawierająca krótki opis techniczny wraz </w:t>
      </w:r>
      <w:r w:rsidR="00AE176E" w:rsidRPr="00596C1B">
        <w:br/>
        <w:t>z   istotnymi parametrami, które określają wielkość obiektu lub robót.</w:t>
      </w:r>
    </w:p>
    <w:p w14:paraId="23E77A2E" w14:textId="77777777" w:rsidR="00480F2D" w:rsidRDefault="00480F2D" w:rsidP="00480F2D"/>
    <w:p w14:paraId="5260B106" w14:textId="0B750903" w:rsidR="00AE176E" w:rsidRPr="00596C1B" w:rsidRDefault="00596C1B" w:rsidP="00480F2D">
      <w:pPr>
        <w:ind w:left="426" w:hanging="426"/>
        <w:rPr>
          <w:b/>
        </w:rPr>
      </w:pPr>
      <w:r>
        <w:t>3</w:t>
      </w:r>
      <w:r w:rsidR="0011536E">
        <w:t>.</w:t>
      </w:r>
      <w:r>
        <w:t xml:space="preserve"> </w:t>
      </w:r>
      <w:r w:rsidR="00AE176E" w:rsidRPr="00596C1B">
        <w:t xml:space="preserve">Przedmiar robót (obliczenia ilości z podaniem poszczególnych wyrażeń arytmetycznych </w:t>
      </w:r>
      <w:r w:rsidR="00AE176E" w:rsidRPr="00596C1B">
        <w:br/>
        <w:t>z dokładnością do całkowitych jednostek, a w wyjątkowych przypadkach np. Mg, m</w:t>
      </w:r>
      <w:r w:rsidR="00AE176E" w:rsidRPr="00596C1B">
        <w:rPr>
          <w:vertAlign w:val="superscript"/>
        </w:rPr>
        <w:t>3</w:t>
      </w:r>
      <w:r w:rsidR="00AE176E" w:rsidRPr="00596C1B">
        <w:t xml:space="preserve"> lub km do 3 miejsc po przecinku),</w:t>
      </w:r>
    </w:p>
    <w:p w14:paraId="76C3B766" w14:textId="77777777" w:rsidR="00480F2D" w:rsidRDefault="00480F2D" w:rsidP="00480F2D"/>
    <w:p w14:paraId="62740F0A" w14:textId="0246F222" w:rsidR="00AE176E" w:rsidRPr="00596C1B" w:rsidRDefault="00596C1B" w:rsidP="00480F2D">
      <w:pPr>
        <w:rPr>
          <w:b/>
        </w:rPr>
      </w:pPr>
      <w:r>
        <w:t>4</w:t>
      </w:r>
      <w:r w:rsidR="0011536E">
        <w:t>.</w:t>
      </w:r>
      <w:r>
        <w:t xml:space="preserve">  </w:t>
      </w:r>
      <w:r w:rsidR="00AE176E" w:rsidRPr="00596C1B">
        <w:t xml:space="preserve">Kalkulację uproszczoną. </w:t>
      </w:r>
    </w:p>
    <w:p w14:paraId="3C23D5D6" w14:textId="77777777" w:rsidR="0011536E" w:rsidRDefault="0011536E" w:rsidP="00480F2D"/>
    <w:p w14:paraId="1971E700" w14:textId="34550169" w:rsidR="00AE176E" w:rsidRPr="00940422" w:rsidRDefault="00AE176E" w:rsidP="00480F2D">
      <w:pPr>
        <w:rPr>
          <w:b/>
        </w:rPr>
      </w:pPr>
      <w:r w:rsidRPr="00940422">
        <w:t>Ceny jednostkowe i wartość pozycji należy podawać w zaokrągleniu do dwóch miejsc po przecinku (0-99 groszy), przy czym wartości do 0,5 gr. pomija się, a wartość 0,5 gr. i wyższą zaokrągla się do pełnego  grosza.</w:t>
      </w:r>
    </w:p>
    <w:p w14:paraId="41B7A1D9" w14:textId="77777777" w:rsidR="00AE176E" w:rsidRPr="00480F2D" w:rsidRDefault="00AE176E" w:rsidP="00480F2D">
      <w:pPr>
        <w:pStyle w:val="Akapitzlist"/>
        <w:numPr>
          <w:ilvl w:val="0"/>
          <w:numId w:val="6"/>
        </w:numPr>
      </w:pPr>
      <w:r w:rsidRPr="00480F2D">
        <w:lastRenderedPageBreak/>
        <w:t xml:space="preserve">Tabelę elementów scalonych sporządzoną w postaci sumarycznego zestawienia wartości robót określonych przedmiarem robót, łącznie z narzutami kosztów pośrednich i zysku odniesionych do elementu obiektu lub zbiorczych rodzajów robót. </w:t>
      </w:r>
    </w:p>
    <w:p w14:paraId="3CC8DA2C" w14:textId="77777777" w:rsidR="00AE176E" w:rsidRPr="00480F2D" w:rsidRDefault="00AE176E" w:rsidP="00480F2D">
      <w:pPr>
        <w:pStyle w:val="Akapitzlist"/>
        <w:numPr>
          <w:ilvl w:val="0"/>
          <w:numId w:val="6"/>
        </w:numPr>
      </w:pPr>
      <w:r w:rsidRPr="00480F2D">
        <w:t>Założenia wyjściowe do kosztorysowania.</w:t>
      </w:r>
    </w:p>
    <w:p w14:paraId="0066A9BF" w14:textId="77777777" w:rsidR="00AE176E" w:rsidRPr="00480F2D" w:rsidRDefault="00AE176E" w:rsidP="00480F2D">
      <w:pPr>
        <w:pStyle w:val="Akapitzlist"/>
        <w:numPr>
          <w:ilvl w:val="0"/>
          <w:numId w:val="6"/>
        </w:numPr>
      </w:pPr>
      <w:r w:rsidRPr="00480F2D">
        <w:t xml:space="preserve">Kalkulacje szczegółowe cen jednostkowych, analizy indywidualne nakładów rzeczowych oraz analizy własne cen czynników produkcji i wskaźników narzutów kosztów pośrednich i zysku. </w:t>
      </w:r>
    </w:p>
    <w:p w14:paraId="7D8ABD1B" w14:textId="77777777" w:rsidR="00AE176E" w:rsidRPr="00940422" w:rsidRDefault="00AE176E" w:rsidP="00480F2D"/>
    <w:p w14:paraId="4E85A1E8" w14:textId="77777777" w:rsidR="00AE176E" w:rsidRPr="00940422" w:rsidRDefault="00AE176E" w:rsidP="00480F2D">
      <w:pPr>
        <w:rPr>
          <w:b/>
        </w:rPr>
      </w:pPr>
      <w:r w:rsidRPr="00940422">
        <w:t xml:space="preserve">5.2. Przedmiar robót   </w:t>
      </w:r>
    </w:p>
    <w:p w14:paraId="77A1151F" w14:textId="77777777" w:rsidR="00AE176E" w:rsidRPr="00940422" w:rsidRDefault="00AE176E" w:rsidP="00480F2D">
      <w:pPr>
        <w:rPr>
          <w:b/>
        </w:rPr>
      </w:pPr>
      <w:r w:rsidRPr="00940422">
        <w:t xml:space="preserve">Należy opracować zgodnie z Rozporządzeniem Ministra Infrastruktury z dnia 02 września 2004 r. </w:t>
      </w:r>
      <w:r w:rsidRPr="00940422">
        <w:br/>
        <w:t>w sprawie szczegółowego zakresu i formy dokumentacji  projektowej, specyfikacji technicznych wykonania i odbioru robót budowlanych oraz programu funkcjonalno – użytkowego</w:t>
      </w:r>
    </w:p>
    <w:p w14:paraId="79B45047" w14:textId="77777777" w:rsidR="00AE176E" w:rsidRPr="00940422" w:rsidRDefault="00AE176E" w:rsidP="00480F2D">
      <w:pPr>
        <w:rPr>
          <w:b/>
        </w:rPr>
      </w:pPr>
      <w:r w:rsidRPr="00940422">
        <w:t>Przedmiar robót musi obejmować:</w:t>
      </w:r>
    </w:p>
    <w:p w14:paraId="3DE7EDB5" w14:textId="77777777" w:rsidR="00480F2D" w:rsidRDefault="00480F2D" w:rsidP="00480F2D"/>
    <w:p w14:paraId="1578A41D" w14:textId="4E8E232A" w:rsidR="00AE176E" w:rsidRPr="00480F2D" w:rsidRDefault="00480F2D" w:rsidP="00480F2D">
      <w:r>
        <w:t xml:space="preserve">A. </w:t>
      </w:r>
      <w:r w:rsidR="00AE176E" w:rsidRPr="00480F2D">
        <w:t>Przedmiar robót (ilościowy) zawierający:</w:t>
      </w:r>
    </w:p>
    <w:p w14:paraId="503CAACD" w14:textId="77777777" w:rsidR="00AE176E" w:rsidRPr="00480F2D" w:rsidRDefault="00AE176E" w:rsidP="00480F2D"/>
    <w:p w14:paraId="101B7E1C" w14:textId="77777777" w:rsidR="00480F2D" w:rsidRDefault="00AE176E" w:rsidP="00480F2D">
      <w:pPr>
        <w:pStyle w:val="Akapitzlist"/>
        <w:numPr>
          <w:ilvl w:val="0"/>
          <w:numId w:val="8"/>
        </w:numPr>
      </w:pPr>
      <w:r w:rsidRPr="00480F2D">
        <w:t xml:space="preserve">Kartę tytułową zawierającą: </w:t>
      </w:r>
    </w:p>
    <w:p w14:paraId="65F6F012" w14:textId="5663E430" w:rsidR="00480F2D" w:rsidRDefault="00AE176E" w:rsidP="00480F2D">
      <w:pPr>
        <w:pStyle w:val="Akapitzlist"/>
      </w:pPr>
      <w:r w:rsidRPr="00480F2D">
        <w:t xml:space="preserve">a) nazwę nadaną zamówieniu przez </w:t>
      </w:r>
      <w:r w:rsidR="00813181">
        <w:rPr>
          <w:lang w:val="pl-PL"/>
        </w:rPr>
        <w:t>Z</w:t>
      </w:r>
      <w:proofErr w:type="spellStart"/>
      <w:r w:rsidRPr="00480F2D">
        <w:t>amawiającego</w:t>
      </w:r>
      <w:proofErr w:type="spellEnd"/>
      <w:r w:rsidRPr="00480F2D">
        <w:t xml:space="preserve">; </w:t>
      </w:r>
    </w:p>
    <w:p w14:paraId="42715224" w14:textId="09C1AC2D" w:rsidR="00AE176E" w:rsidRPr="00480F2D" w:rsidRDefault="00AE176E" w:rsidP="00480F2D">
      <w:pPr>
        <w:pStyle w:val="Akapitzlist"/>
      </w:pPr>
      <w:r w:rsidRPr="00480F2D">
        <w:t>b) w zależności od zakresu robót budowlanych objętych przedmiotem zamówienia – nazwy i kody: grup robót, klas robót, kategorii robót; adres obiektu budowlanego; nazwę i adres zamawiającego; datę opracowania przedmiaru robót.</w:t>
      </w:r>
    </w:p>
    <w:p w14:paraId="1068F67D" w14:textId="77777777" w:rsidR="00AE176E" w:rsidRPr="00480F2D" w:rsidRDefault="00AE176E" w:rsidP="00480F2D">
      <w:pPr>
        <w:pStyle w:val="Akapitzlist"/>
        <w:numPr>
          <w:ilvl w:val="0"/>
          <w:numId w:val="8"/>
        </w:numPr>
      </w:pPr>
      <w:r w:rsidRPr="00480F2D">
        <w:t>Spis działów przedmiaru robót wg Wspólnego Słownika Zamówień (CPV) wraz z ich kodami (na poziomie grupy).</w:t>
      </w:r>
    </w:p>
    <w:p w14:paraId="25C4D0DC" w14:textId="77777777" w:rsidR="00AE176E" w:rsidRPr="00480F2D" w:rsidRDefault="00AE176E" w:rsidP="00480F2D">
      <w:pPr>
        <w:pStyle w:val="Akapitzlist"/>
        <w:numPr>
          <w:ilvl w:val="0"/>
          <w:numId w:val="8"/>
        </w:numPr>
      </w:pPr>
      <w:r w:rsidRPr="00480F2D">
        <w:t xml:space="preserve">Tabelę przedmiaru robót zawierającą pozycje odpowiadające robotom podstawowym w porządku technologicznym. </w:t>
      </w:r>
    </w:p>
    <w:p w14:paraId="0A8D4B49" w14:textId="77777777" w:rsidR="00AE176E" w:rsidRPr="00940422" w:rsidRDefault="00AE176E" w:rsidP="00480F2D"/>
    <w:p w14:paraId="698DEE4F" w14:textId="77777777" w:rsidR="00AE176E" w:rsidRPr="00940422" w:rsidRDefault="00AE176E" w:rsidP="00480F2D">
      <w:pPr>
        <w:rPr>
          <w:b/>
        </w:rPr>
      </w:pPr>
      <w:r w:rsidRPr="00940422">
        <w:t xml:space="preserve">Do każdej pozycji przedmiaru należy podać: </w:t>
      </w:r>
    </w:p>
    <w:p w14:paraId="04FC2EC9" w14:textId="77777777" w:rsidR="00AE176E" w:rsidRPr="00940422" w:rsidRDefault="00AE176E" w:rsidP="00480F2D">
      <w:pPr>
        <w:pStyle w:val="Akapitzlist"/>
        <w:numPr>
          <w:ilvl w:val="1"/>
          <w:numId w:val="9"/>
        </w:numPr>
        <w:rPr>
          <w:b/>
        </w:rPr>
      </w:pPr>
      <w:r w:rsidRPr="00940422">
        <w:t>numer pozycji przedmiaru,</w:t>
      </w:r>
    </w:p>
    <w:p w14:paraId="599B7F94" w14:textId="77777777" w:rsidR="00AE176E" w:rsidRPr="00940422" w:rsidRDefault="00AE176E" w:rsidP="00480F2D">
      <w:pPr>
        <w:pStyle w:val="Akapitzlist"/>
        <w:numPr>
          <w:ilvl w:val="1"/>
          <w:numId w:val="9"/>
        </w:numPr>
        <w:rPr>
          <w:b/>
        </w:rPr>
      </w:pPr>
      <w:r w:rsidRPr="00940422">
        <w:t>kod pozycji przedmiaru, określony zgodnie z ustaloną indywidualnie systematyką robót lub na podstawie wskazanych publikacji zawierających kosztorysowe normy nakładów rzeczowych,</w:t>
      </w:r>
    </w:p>
    <w:p w14:paraId="3D7A3133" w14:textId="77777777" w:rsidR="00AE176E" w:rsidRPr="00940422" w:rsidRDefault="00AE176E" w:rsidP="00480F2D">
      <w:pPr>
        <w:pStyle w:val="Akapitzlist"/>
        <w:numPr>
          <w:ilvl w:val="1"/>
          <w:numId w:val="9"/>
        </w:numPr>
        <w:rPr>
          <w:b/>
        </w:rPr>
      </w:pPr>
      <w:r w:rsidRPr="00940422">
        <w:t>numer specyfikacji technicznej wykonania i odbioru robót, zawierającej wymagania dla danej pozycji przedmiaru,</w:t>
      </w:r>
    </w:p>
    <w:p w14:paraId="13BE429A" w14:textId="77777777" w:rsidR="00AE176E" w:rsidRPr="00940422" w:rsidRDefault="00AE176E" w:rsidP="00480F2D">
      <w:pPr>
        <w:pStyle w:val="Akapitzlist"/>
        <w:numPr>
          <w:ilvl w:val="1"/>
          <w:numId w:val="9"/>
        </w:numPr>
        <w:rPr>
          <w:b/>
        </w:rPr>
      </w:pPr>
      <w:r w:rsidRPr="00940422">
        <w:t>nazwę i opis pozycji przedmiaru (patrz Uwaga),</w:t>
      </w:r>
    </w:p>
    <w:p w14:paraId="050DD5F5" w14:textId="77777777" w:rsidR="00AE176E" w:rsidRPr="00940422" w:rsidRDefault="00AE176E" w:rsidP="00480F2D">
      <w:pPr>
        <w:pStyle w:val="Akapitzlist"/>
        <w:numPr>
          <w:ilvl w:val="1"/>
          <w:numId w:val="9"/>
        </w:numPr>
        <w:rPr>
          <w:b/>
        </w:rPr>
      </w:pPr>
      <w:r w:rsidRPr="00940422">
        <w:t>jednostkę miary,</w:t>
      </w:r>
    </w:p>
    <w:p w14:paraId="7ED5BA78" w14:textId="77777777" w:rsidR="00AE176E" w:rsidRPr="00940422" w:rsidRDefault="00AE176E" w:rsidP="00480F2D">
      <w:pPr>
        <w:pStyle w:val="Akapitzlist"/>
        <w:numPr>
          <w:ilvl w:val="1"/>
          <w:numId w:val="9"/>
        </w:numPr>
        <w:rPr>
          <w:b/>
        </w:rPr>
      </w:pPr>
      <w:r w:rsidRPr="00940422">
        <w:t>ilość jednostek miary pozycji przedmiaru (obliczenia ilości z podaniem poszczególnych wyrażeń arytmetycznych z dokładnością do całkowitych jednostek, a w wyjątkowych przypadkach np. Mg, m</w:t>
      </w:r>
      <w:r w:rsidRPr="00940422">
        <w:rPr>
          <w:vertAlign w:val="superscript"/>
        </w:rPr>
        <w:t>3</w:t>
      </w:r>
      <w:r w:rsidRPr="00940422">
        <w:t xml:space="preserve"> lub km do 3 miejsc po przecinku).</w:t>
      </w:r>
    </w:p>
    <w:p w14:paraId="685F7CB6" w14:textId="77777777" w:rsidR="00AE176E" w:rsidRPr="00940422" w:rsidRDefault="00AE176E" w:rsidP="00480F2D"/>
    <w:p w14:paraId="32403A58" w14:textId="77777777" w:rsidR="00AE176E" w:rsidRPr="00940422" w:rsidRDefault="00AE176E" w:rsidP="00480F2D">
      <w:pPr>
        <w:rPr>
          <w:b/>
        </w:rPr>
      </w:pPr>
      <w:r w:rsidRPr="00940422">
        <w:t>UWAGA:</w:t>
      </w:r>
    </w:p>
    <w:p w14:paraId="650B0ED8" w14:textId="77777777" w:rsidR="00AE176E" w:rsidRPr="00940422" w:rsidRDefault="00AE176E" w:rsidP="00480F2D">
      <w:pPr>
        <w:rPr>
          <w:b/>
        </w:rPr>
      </w:pPr>
      <w:r w:rsidRPr="00940422">
        <w:t xml:space="preserve">a)   Przedmiar musi zawierać szczegółowy opis pozycji lub wskazywać podstawy ustalające szczegółowy opis. W przypadku wskazania podstawy w publikacjach zawierających kosztorysowe normy nakładów rzeczowych, opisy pozycji przedmiaru, gdzie występują nakłady alternatywne lub określone są ogólnie, w opracowanym przedmiarze należy uściślić w zależności od projektowanego rozwiązania (np. w nakładzie mieszanka betonowa – uzupełnić opis – mieszanka betonowa C 8/10). </w:t>
      </w:r>
      <w:r w:rsidRPr="00940422">
        <w:rPr>
          <w:u w:val="single"/>
        </w:rPr>
        <w:t>W wyjątkowych przypadkach należy uwzględniać ewentualne dodatki (co do zasady pozycja ma określać faktyczną ilość robót do wykonania zgodnie z projektem, a nie na zasadzie wskazywania pozycji z jednym wymiarem oraz następnej pozycji, odpowiedni zmniejszającej lub zwiększającej pozycję poprzednią)</w:t>
      </w:r>
      <w:r w:rsidRPr="00940422">
        <w:t xml:space="preserve">. W pozycjach </w:t>
      </w:r>
      <w:r w:rsidRPr="00940422">
        <w:lastRenderedPageBreak/>
        <w:t xml:space="preserve">katalogowych, które określają </w:t>
      </w:r>
      <w:r w:rsidRPr="00940422">
        <w:rPr>
          <w:u w:val="single"/>
        </w:rPr>
        <w:t>ewentualne</w:t>
      </w:r>
      <w:r w:rsidRPr="00940422">
        <w:t xml:space="preserve"> dodatki, w części opisowej należy zaznaczyć ich krotność (np. całkowitą grubość ujętą w tej pozycji + 2 cm). Jeżeli pozycja katalogowa obejmuje dodatek za transport ziemi, gruzu w części opisowej należy dodać uwagę „faktyczną odległość uściśli wykonawca w ofercie”. Jeżeli pozycja stanowi analogię należy zachować opis katalogowy, a następnie dodać w oddzielnym zdaniu ujętym w nawias właściwy opis lub uzupełnienie podstawowego.</w:t>
      </w:r>
    </w:p>
    <w:p w14:paraId="796CA075" w14:textId="77777777" w:rsidR="0011536E" w:rsidRDefault="00AE176E" w:rsidP="00480F2D">
      <w:pPr>
        <w:rPr>
          <w:b/>
        </w:rPr>
      </w:pPr>
      <w:r w:rsidRPr="00940422">
        <w:t xml:space="preserve">b) Pozycje przedmiaru robót obok standardowych danych muszą zawierać obliczenia ilości robót. </w:t>
      </w:r>
      <w:r w:rsidRPr="00940422">
        <w:br/>
        <w:t>W obliczeniach ilości robót należy stosować wyrażenia arytmetyczne. Celowe jest uzupełnianie obliczeń przez odwoływanie się do projektu (np. rysunek nr 3 – plan sytuacyjny rozbiórek, tabela robót ziemnych itp.) oraz danych lokalizacyjnych (np. strona płd. na odcinku). Przedmiar musi umożliwiać sprawdzenie wyliczeń ilości projektowanych do wykonania robót, gdyż jest to niezbędne przy sporządzaniu oferty oraz realizacji i rozliczeniu wykonanych robót.</w:t>
      </w:r>
    </w:p>
    <w:p w14:paraId="23F0A652" w14:textId="2E25C112" w:rsidR="00AE176E" w:rsidRPr="00940422" w:rsidRDefault="00AE176E" w:rsidP="00480F2D">
      <w:pPr>
        <w:rPr>
          <w:b/>
        </w:rPr>
      </w:pPr>
      <w:r w:rsidRPr="00940422">
        <w:t>Ilości należy podawać z dokładnością do całkowitych jednostek a w wyjątkowych przypadkach np. Mg, m</w:t>
      </w:r>
      <w:r w:rsidRPr="00940422">
        <w:rPr>
          <w:vertAlign w:val="superscript"/>
        </w:rPr>
        <w:t>3</w:t>
      </w:r>
      <w:r w:rsidRPr="00940422">
        <w:t xml:space="preserve"> lub km do 3 miejsc po przecinku).</w:t>
      </w:r>
    </w:p>
    <w:p w14:paraId="62294B90" w14:textId="3D969DC0" w:rsidR="00AE176E" w:rsidRPr="00813181" w:rsidRDefault="00813181" w:rsidP="00813181">
      <w:pPr>
        <w:pStyle w:val="Akapitzlist"/>
        <w:ind w:left="0"/>
      </w:pPr>
      <w:r>
        <w:rPr>
          <w:lang w:val="pl-PL"/>
        </w:rPr>
        <w:t xml:space="preserve">c) </w:t>
      </w:r>
      <w:r w:rsidR="00AE176E" w:rsidRPr="00813181">
        <w:t xml:space="preserve">Przedmiar musi zawierać, </w:t>
      </w:r>
      <w:r w:rsidR="00AE176E" w:rsidRPr="00813181">
        <w:rPr>
          <w:u w:val="single"/>
        </w:rPr>
        <w:t>w przypadku ich stosowania</w:t>
      </w:r>
      <w:r w:rsidR="00AE176E" w:rsidRPr="00813181">
        <w:t>, zestawienie stosowanych katalogów w odniesieniu do poszczególnych pozycji z podaniem ich wydawcy i roku wydania.</w:t>
      </w:r>
    </w:p>
    <w:p w14:paraId="6544C0DB" w14:textId="77777777" w:rsidR="00AE176E" w:rsidRPr="00940422" w:rsidRDefault="00AE176E" w:rsidP="00480F2D"/>
    <w:p w14:paraId="19A780D4" w14:textId="77777777" w:rsidR="00AE176E" w:rsidRPr="00940422" w:rsidRDefault="00AE176E" w:rsidP="00480F2D"/>
    <w:p w14:paraId="4A0614BD" w14:textId="54059813" w:rsidR="00AE176E" w:rsidRPr="00940422" w:rsidRDefault="00AE176E" w:rsidP="007D597F">
      <w:pPr>
        <w:pStyle w:val="Akapitzlist"/>
        <w:numPr>
          <w:ilvl w:val="0"/>
          <w:numId w:val="7"/>
        </w:numPr>
        <w:tabs>
          <w:tab w:val="clear" w:pos="720"/>
          <w:tab w:val="num" w:pos="142"/>
        </w:tabs>
        <w:ind w:left="284" w:hanging="284"/>
        <w:rPr>
          <w:b/>
        </w:rPr>
      </w:pPr>
      <w:r w:rsidRPr="00940422">
        <w:t>Przedmiar robót – ofertę, (</w:t>
      </w:r>
      <w:r w:rsidR="000812FE">
        <w:rPr>
          <w:lang w:val="pl-PL"/>
        </w:rPr>
        <w:t>T</w:t>
      </w:r>
      <w:r w:rsidR="00813181">
        <w:rPr>
          <w:lang w:val="pl-PL"/>
        </w:rPr>
        <w:t xml:space="preserve">abela </w:t>
      </w:r>
      <w:r w:rsidR="000812FE" w:rsidRPr="000812FE">
        <w:t>E</w:t>
      </w:r>
      <w:r w:rsidRPr="000812FE">
        <w:t xml:space="preserve">lementów </w:t>
      </w:r>
      <w:r w:rsidR="000812FE" w:rsidRPr="000812FE">
        <w:t>R</w:t>
      </w:r>
      <w:r w:rsidRPr="000812FE">
        <w:t>ozliczeniowych</w:t>
      </w:r>
      <w:r w:rsidRPr="00940422">
        <w:t xml:space="preserve"> TER)</w:t>
      </w:r>
      <w:r w:rsidR="00813181">
        <w:rPr>
          <w:lang w:val="pl-PL"/>
        </w:rPr>
        <w:t>.</w:t>
      </w:r>
      <w:r w:rsidRPr="00940422">
        <w:t xml:space="preserve"> Struktura przedmiaru robót, oraz kosztorysu inwestorskiego powinna odpowiadać strukturze </w:t>
      </w:r>
      <w:r w:rsidR="00813181" w:rsidRPr="000812FE">
        <w:t xml:space="preserve">Tabeli </w:t>
      </w:r>
      <w:r w:rsidRPr="000812FE">
        <w:t xml:space="preserve"> </w:t>
      </w:r>
      <w:r w:rsidR="00813181" w:rsidRPr="000812FE">
        <w:t>E</w:t>
      </w:r>
      <w:r w:rsidRPr="000812FE">
        <w:t>lementów</w:t>
      </w:r>
      <w:r w:rsidR="00813181">
        <w:rPr>
          <w:lang w:val="pl-PL"/>
        </w:rPr>
        <w:t xml:space="preserve"> </w:t>
      </w:r>
      <w:r w:rsidRPr="00940422">
        <w:t xml:space="preserve"> Rozliczeniowych, aby umożliwić identyfikację pozycji z TER z pozycjami przedmiaru robót oraz ustalić ich wartość kosztorysową. Tabela Elementów Rozliczeniowych powinna być sporządzona w arkuszu kalkulacyjnym EXEL przeznaczonym do wypełnienia przez Wykonawców, i zawierać pozycje zagregowane (scalone) w stosunku do przedmiaru robót:</w:t>
      </w:r>
    </w:p>
    <w:p w14:paraId="66567AB0" w14:textId="77777777" w:rsidR="00AE176E" w:rsidRPr="00940422" w:rsidRDefault="00AE176E" w:rsidP="00480F2D"/>
    <w:p w14:paraId="1EAD9E96" w14:textId="77777777" w:rsidR="00AE176E" w:rsidRPr="00940422" w:rsidRDefault="00AE176E" w:rsidP="00480F2D">
      <w:pPr>
        <w:rPr>
          <w:b/>
        </w:rPr>
      </w:pPr>
      <w:r w:rsidRPr="00940422">
        <w:t xml:space="preserve">Poniżej podano przykładowy Przedmiar robót oferta – Tabela Elementów Rozliczeniowych  </w:t>
      </w:r>
    </w:p>
    <w:tbl>
      <w:tblPr>
        <w:tblW w:w="9808" w:type="dxa"/>
        <w:tblInd w:w="388" w:type="dxa"/>
        <w:tblLayout w:type="fixed"/>
        <w:tblCellMar>
          <w:left w:w="70" w:type="dxa"/>
          <w:right w:w="70" w:type="dxa"/>
        </w:tblCellMar>
        <w:tblLook w:val="04A0" w:firstRow="1" w:lastRow="0" w:firstColumn="1" w:lastColumn="0" w:noHBand="0" w:noVBand="1"/>
      </w:tblPr>
      <w:tblGrid>
        <w:gridCol w:w="453"/>
        <w:gridCol w:w="1276"/>
        <w:gridCol w:w="2734"/>
        <w:gridCol w:w="1276"/>
        <w:gridCol w:w="1417"/>
        <w:gridCol w:w="1377"/>
        <w:gridCol w:w="1275"/>
      </w:tblGrid>
      <w:tr w:rsidR="00AE176E" w:rsidRPr="00940422" w14:paraId="3B3219C1" w14:textId="77777777" w:rsidTr="006032DF">
        <w:trPr>
          <w:trHeight w:val="253"/>
        </w:trPr>
        <w:tc>
          <w:tcPr>
            <w:tcW w:w="453" w:type="dxa"/>
            <w:vMerge w:val="restart"/>
            <w:tcBorders>
              <w:top w:val="single" w:sz="8" w:space="0" w:color="auto"/>
              <w:left w:val="single" w:sz="8" w:space="0" w:color="auto"/>
              <w:bottom w:val="nil"/>
              <w:right w:val="nil"/>
            </w:tcBorders>
            <w:shd w:val="clear" w:color="auto" w:fill="auto"/>
            <w:vAlign w:val="center"/>
            <w:hideMark/>
          </w:tcPr>
          <w:p w14:paraId="05A9A282" w14:textId="77777777" w:rsidR="00AE176E" w:rsidRPr="00940422" w:rsidRDefault="00AE176E" w:rsidP="00480F2D">
            <w:pPr>
              <w:rPr>
                <w:b/>
                <w:lang w:eastAsia="pl-PL"/>
              </w:rPr>
            </w:pPr>
            <w:r w:rsidRPr="00940422">
              <w:rPr>
                <w:lang w:eastAsia="pl-PL"/>
              </w:rPr>
              <w:t>Lp.</w:t>
            </w:r>
          </w:p>
        </w:tc>
        <w:tc>
          <w:tcPr>
            <w:tcW w:w="1276" w:type="dxa"/>
            <w:vMerge w:val="restart"/>
            <w:tcBorders>
              <w:top w:val="single" w:sz="8" w:space="0" w:color="auto"/>
              <w:left w:val="single" w:sz="8" w:space="0" w:color="auto"/>
              <w:bottom w:val="nil"/>
              <w:right w:val="single" w:sz="8" w:space="0" w:color="auto"/>
            </w:tcBorders>
            <w:shd w:val="clear" w:color="auto" w:fill="auto"/>
            <w:vAlign w:val="center"/>
            <w:hideMark/>
          </w:tcPr>
          <w:p w14:paraId="57CC09AD" w14:textId="77777777" w:rsidR="00AE176E" w:rsidRPr="00940422" w:rsidRDefault="00AE176E" w:rsidP="00480F2D">
            <w:pPr>
              <w:rPr>
                <w:b/>
                <w:lang w:eastAsia="pl-PL"/>
              </w:rPr>
            </w:pPr>
            <w:r w:rsidRPr="00940422">
              <w:rPr>
                <w:lang w:eastAsia="pl-PL"/>
              </w:rPr>
              <w:t>Nr</w:t>
            </w:r>
            <w:r w:rsidR="00021CF9" w:rsidRPr="00940422">
              <w:rPr>
                <w:lang w:eastAsia="pl-PL"/>
              </w:rPr>
              <w:t xml:space="preserve"> </w:t>
            </w:r>
            <w:proofErr w:type="spellStart"/>
            <w:r w:rsidRPr="00940422">
              <w:rPr>
                <w:lang w:eastAsia="pl-PL"/>
              </w:rPr>
              <w:t>Specyfikcji</w:t>
            </w:r>
            <w:proofErr w:type="spellEnd"/>
            <w:r w:rsidRPr="00940422">
              <w:rPr>
                <w:lang w:eastAsia="pl-PL"/>
              </w:rPr>
              <w:br/>
              <w:t xml:space="preserve">Technicznej   </w:t>
            </w:r>
          </w:p>
        </w:tc>
        <w:tc>
          <w:tcPr>
            <w:tcW w:w="2734" w:type="dxa"/>
            <w:vMerge w:val="restart"/>
            <w:tcBorders>
              <w:top w:val="single" w:sz="8" w:space="0" w:color="auto"/>
              <w:left w:val="single" w:sz="4" w:space="0" w:color="auto"/>
              <w:bottom w:val="nil"/>
              <w:right w:val="nil"/>
            </w:tcBorders>
            <w:shd w:val="clear" w:color="auto" w:fill="auto"/>
            <w:vAlign w:val="center"/>
            <w:hideMark/>
          </w:tcPr>
          <w:p w14:paraId="499C1162" w14:textId="77777777" w:rsidR="00AE176E" w:rsidRPr="00940422" w:rsidRDefault="00AE176E" w:rsidP="00480F2D">
            <w:pPr>
              <w:rPr>
                <w:b/>
                <w:lang w:eastAsia="pl-PL"/>
              </w:rPr>
            </w:pPr>
            <w:r w:rsidRPr="00940422">
              <w:rPr>
                <w:lang w:eastAsia="pl-PL"/>
              </w:rPr>
              <w:t>Wyszczególnienie elementów rozliczeniowych</w:t>
            </w:r>
          </w:p>
        </w:tc>
        <w:tc>
          <w:tcPr>
            <w:tcW w:w="5345"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353A6C9" w14:textId="77777777" w:rsidR="00AE176E" w:rsidRPr="00940422" w:rsidRDefault="00AE176E" w:rsidP="00480F2D">
            <w:pPr>
              <w:rPr>
                <w:b/>
                <w:lang w:eastAsia="pl-PL"/>
              </w:rPr>
            </w:pPr>
            <w:r w:rsidRPr="00940422">
              <w:rPr>
                <w:lang w:eastAsia="pl-PL"/>
              </w:rPr>
              <w:t>Kosztorys Ofertowy</w:t>
            </w:r>
          </w:p>
        </w:tc>
      </w:tr>
      <w:tr w:rsidR="00AE176E" w:rsidRPr="00940422" w14:paraId="32B37A06" w14:textId="77777777" w:rsidTr="006032DF">
        <w:trPr>
          <w:trHeight w:val="276"/>
        </w:trPr>
        <w:tc>
          <w:tcPr>
            <w:tcW w:w="453" w:type="dxa"/>
            <w:vMerge/>
            <w:tcBorders>
              <w:top w:val="single" w:sz="8" w:space="0" w:color="auto"/>
              <w:left w:val="single" w:sz="8" w:space="0" w:color="auto"/>
              <w:bottom w:val="nil"/>
              <w:right w:val="nil"/>
            </w:tcBorders>
            <w:vAlign w:val="center"/>
            <w:hideMark/>
          </w:tcPr>
          <w:p w14:paraId="0C12C574" w14:textId="77777777" w:rsidR="00AE176E" w:rsidRPr="00940422" w:rsidRDefault="00AE176E" w:rsidP="00480F2D">
            <w:pPr>
              <w:rPr>
                <w:lang w:eastAsia="pl-PL"/>
              </w:rPr>
            </w:pPr>
          </w:p>
        </w:tc>
        <w:tc>
          <w:tcPr>
            <w:tcW w:w="1276" w:type="dxa"/>
            <w:vMerge/>
            <w:tcBorders>
              <w:top w:val="single" w:sz="8" w:space="0" w:color="auto"/>
              <w:left w:val="single" w:sz="8" w:space="0" w:color="auto"/>
              <w:bottom w:val="nil"/>
              <w:right w:val="single" w:sz="8" w:space="0" w:color="auto"/>
            </w:tcBorders>
            <w:vAlign w:val="center"/>
            <w:hideMark/>
          </w:tcPr>
          <w:p w14:paraId="472DB06F" w14:textId="77777777" w:rsidR="00AE176E" w:rsidRPr="00940422" w:rsidRDefault="00AE176E" w:rsidP="00480F2D">
            <w:pPr>
              <w:rPr>
                <w:lang w:eastAsia="pl-PL"/>
              </w:rPr>
            </w:pPr>
          </w:p>
        </w:tc>
        <w:tc>
          <w:tcPr>
            <w:tcW w:w="2734" w:type="dxa"/>
            <w:vMerge/>
            <w:tcBorders>
              <w:top w:val="single" w:sz="8" w:space="0" w:color="auto"/>
              <w:left w:val="single" w:sz="4" w:space="0" w:color="auto"/>
              <w:bottom w:val="nil"/>
              <w:right w:val="nil"/>
            </w:tcBorders>
            <w:vAlign w:val="center"/>
            <w:hideMark/>
          </w:tcPr>
          <w:p w14:paraId="3ED65C21" w14:textId="77777777" w:rsidR="00AE176E" w:rsidRPr="00940422" w:rsidRDefault="00AE176E" w:rsidP="00480F2D">
            <w:pPr>
              <w:rPr>
                <w:lang w:eastAsia="pl-PL"/>
              </w:rPr>
            </w:pPr>
          </w:p>
        </w:tc>
        <w:tc>
          <w:tcPr>
            <w:tcW w:w="1276" w:type="dxa"/>
            <w:tcBorders>
              <w:top w:val="single" w:sz="8" w:space="0" w:color="auto"/>
              <w:left w:val="single" w:sz="8" w:space="0" w:color="auto"/>
              <w:bottom w:val="single" w:sz="4" w:space="0" w:color="auto"/>
              <w:right w:val="single" w:sz="4" w:space="0" w:color="000000"/>
            </w:tcBorders>
            <w:shd w:val="clear" w:color="auto" w:fill="auto"/>
            <w:noWrap/>
            <w:vAlign w:val="center"/>
            <w:hideMark/>
          </w:tcPr>
          <w:p w14:paraId="4099349B" w14:textId="77777777" w:rsidR="00AE176E" w:rsidRPr="00940422" w:rsidRDefault="00AE176E" w:rsidP="00480F2D">
            <w:pPr>
              <w:rPr>
                <w:b/>
                <w:lang w:eastAsia="pl-PL"/>
              </w:rPr>
            </w:pPr>
            <w:r w:rsidRPr="00940422">
              <w:rPr>
                <w:lang w:eastAsia="pl-PL"/>
              </w:rPr>
              <w:t>Jednostka</w:t>
            </w:r>
          </w:p>
        </w:tc>
        <w:tc>
          <w:tcPr>
            <w:tcW w:w="2794" w:type="dxa"/>
            <w:gridSpan w:val="2"/>
            <w:tcBorders>
              <w:top w:val="nil"/>
              <w:left w:val="single" w:sz="4" w:space="0" w:color="auto"/>
              <w:bottom w:val="single" w:sz="8" w:space="0" w:color="000000"/>
              <w:right w:val="single" w:sz="4" w:space="0" w:color="auto"/>
            </w:tcBorders>
            <w:shd w:val="clear" w:color="auto" w:fill="auto"/>
            <w:vAlign w:val="center"/>
            <w:hideMark/>
          </w:tcPr>
          <w:p w14:paraId="5083F73F" w14:textId="77777777" w:rsidR="00AE176E" w:rsidRPr="00940422" w:rsidRDefault="00AE176E" w:rsidP="00480F2D">
            <w:pPr>
              <w:rPr>
                <w:b/>
                <w:lang w:eastAsia="pl-PL"/>
              </w:rPr>
            </w:pPr>
            <w:r w:rsidRPr="00940422">
              <w:rPr>
                <w:lang w:eastAsia="pl-PL"/>
              </w:rPr>
              <w:t>Cena jednostkowa PLN*)</w:t>
            </w:r>
          </w:p>
        </w:tc>
        <w:tc>
          <w:tcPr>
            <w:tcW w:w="1275" w:type="dxa"/>
            <w:tcBorders>
              <w:top w:val="nil"/>
              <w:left w:val="single" w:sz="4" w:space="0" w:color="auto"/>
              <w:bottom w:val="nil"/>
              <w:right w:val="single" w:sz="8" w:space="0" w:color="auto"/>
            </w:tcBorders>
            <w:shd w:val="clear" w:color="auto" w:fill="auto"/>
            <w:vAlign w:val="center"/>
            <w:hideMark/>
          </w:tcPr>
          <w:p w14:paraId="71B11D07" w14:textId="77777777" w:rsidR="00AE176E" w:rsidRPr="00940422" w:rsidRDefault="00AE176E" w:rsidP="00480F2D">
            <w:pPr>
              <w:rPr>
                <w:b/>
                <w:lang w:eastAsia="pl-PL"/>
              </w:rPr>
            </w:pPr>
            <w:r w:rsidRPr="00940422">
              <w:rPr>
                <w:lang w:eastAsia="pl-PL"/>
              </w:rPr>
              <w:t>Wartość</w:t>
            </w:r>
            <w:r w:rsidRPr="00940422">
              <w:rPr>
                <w:lang w:eastAsia="pl-PL"/>
              </w:rPr>
              <w:br/>
              <w:t>PLN*)</w:t>
            </w:r>
          </w:p>
        </w:tc>
      </w:tr>
      <w:tr w:rsidR="00AE176E" w:rsidRPr="00940422" w14:paraId="1C87A559" w14:textId="77777777" w:rsidTr="00021CF9">
        <w:trPr>
          <w:trHeight w:val="394"/>
        </w:trPr>
        <w:tc>
          <w:tcPr>
            <w:tcW w:w="453" w:type="dxa"/>
            <w:vMerge/>
            <w:tcBorders>
              <w:top w:val="single" w:sz="8" w:space="0" w:color="auto"/>
              <w:left w:val="single" w:sz="8" w:space="0" w:color="auto"/>
              <w:bottom w:val="nil"/>
              <w:right w:val="nil"/>
            </w:tcBorders>
            <w:vAlign w:val="center"/>
            <w:hideMark/>
          </w:tcPr>
          <w:p w14:paraId="2A5D01FC" w14:textId="77777777" w:rsidR="00AE176E" w:rsidRPr="00940422" w:rsidRDefault="00AE176E" w:rsidP="00480F2D">
            <w:pPr>
              <w:rPr>
                <w:lang w:eastAsia="pl-PL"/>
              </w:rPr>
            </w:pPr>
          </w:p>
        </w:tc>
        <w:tc>
          <w:tcPr>
            <w:tcW w:w="1276" w:type="dxa"/>
            <w:vMerge/>
            <w:tcBorders>
              <w:top w:val="single" w:sz="8" w:space="0" w:color="auto"/>
              <w:left w:val="single" w:sz="8" w:space="0" w:color="auto"/>
              <w:bottom w:val="nil"/>
              <w:right w:val="single" w:sz="8" w:space="0" w:color="auto"/>
            </w:tcBorders>
            <w:vAlign w:val="center"/>
            <w:hideMark/>
          </w:tcPr>
          <w:p w14:paraId="4D21F72A" w14:textId="77777777" w:rsidR="00AE176E" w:rsidRPr="00940422" w:rsidRDefault="00AE176E" w:rsidP="00480F2D">
            <w:pPr>
              <w:rPr>
                <w:lang w:eastAsia="pl-PL"/>
              </w:rPr>
            </w:pPr>
          </w:p>
        </w:tc>
        <w:tc>
          <w:tcPr>
            <w:tcW w:w="2734" w:type="dxa"/>
            <w:vMerge/>
            <w:tcBorders>
              <w:top w:val="single" w:sz="8" w:space="0" w:color="auto"/>
              <w:left w:val="single" w:sz="4" w:space="0" w:color="auto"/>
              <w:bottom w:val="nil"/>
              <w:right w:val="nil"/>
            </w:tcBorders>
            <w:vAlign w:val="center"/>
            <w:hideMark/>
          </w:tcPr>
          <w:p w14:paraId="2B13DF33" w14:textId="77777777" w:rsidR="00AE176E" w:rsidRPr="00940422" w:rsidRDefault="00AE176E" w:rsidP="00480F2D">
            <w:pPr>
              <w:rPr>
                <w:lang w:eastAsia="pl-PL"/>
              </w:rPr>
            </w:pPr>
          </w:p>
        </w:tc>
        <w:tc>
          <w:tcPr>
            <w:tcW w:w="1276" w:type="dxa"/>
            <w:tcBorders>
              <w:top w:val="nil"/>
              <w:left w:val="single" w:sz="8" w:space="0" w:color="auto"/>
              <w:bottom w:val="nil"/>
              <w:right w:val="single" w:sz="4" w:space="0" w:color="auto"/>
            </w:tcBorders>
            <w:shd w:val="clear" w:color="auto" w:fill="auto"/>
            <w:vAlign w:val="center"/>
            <w:hideMark/>
          </w:tcPr>
          <w:p w14:paraId="3466724F" w14:textId="77777777" w:rsidR="00AE176E" w:rsidRPr="00940422" w:rsidRDefault="00AE176E" w:rsidP="00480F2D">
            <w:pPr>
              <w:rPr>
                <w:b/>
                <w:lang w:eastAsia="pl-PL"/>
              </w:rPr>
            </w:pPr>
            <w:r w:rsidRPr="00940422">
              <w:rPr>
                <w:lang w:eastAsia="pl-PL"/>
              </w:rPr>
              <w:t>Nazwa</w:t>
            </w:r>
          </w:p>
        </w:tc>
        <w:tc>
          <w:tcPr>
            <w:tcW w:w="1417" w:type="dxa"/>
            <w:tcBorders>
              <w:top w:val="nil"/>
              <w:left w:val="nil"/>
              <w:bottom w:val="nil"/>
              <w:right w:val="single" w:sz="4" w:space="0" w:color="auto"/>
            </w:tcBorders>
            <w:shd w:val="clear" w:color="auto" w:fill="auto"/>
            <w:vAlign w:val="center"/>
            <w:hideMark/>
          </w:tcPr>
          <w:p w14:paraId="593BFED0" w14:textId="77777777" w:rsidR="00AE176E" w:rsidRPr="00940422" w:rsidRDefault="00AE176E" w:rsidP="00480F2D">
            <w:pPr>
              <w:rPr>
                <w:b/>
                <w:lang w:eastAsia="pl-PL"/>
              </w:rPr>
            </w:pPr>
            <w:r w:rsidRPr="00940422">
              <w:rPr>
                <w:lang w:eastAsia="pl-PL"/>
              </w:rPr>
              <w:t>Ilość</w:t>
            </w:r>
          </w:p>
        </w:tc>
        <w:tc>
          <w:tcPr>
            <w:tcW w:w="1377" w:type="dxa"/>
            <w:tcBorders>
              <w:top w:val="nil"/>
              <w:left w:val="single" w:sz="4" w:space="0" w:color="auto"/>
              <w:bottom w:val="single" w:sz="8" w:space="0" w:color="000000"/>
              <w:right w:val="single" w:sz="4" w:space="0" w:color="auto"/>
            </w:tcBorders>
            <w:vAlign w:val="center"/>
            <w:hideMark/>
          </w:tcPr>
          <w:p w14:paraId="6DAB61A7" w14:textId="77777777" w:rsidR="00AE176E" w:rsidRPr="00940422" w:rsidRDefault="00AE176E" w:rsidP="00480F2D">
            <w:pPr>
              <w:rPr>
                <w:b/>
                <w:lang w:eastAsia="pl-PL"/>
              </w:rPr>
            </w:pPr>
            <w:r w:rsidRPr="00940422">
              <w:rPr>
                <w:lang w:eastAsia="pl-PL"/>
              </w:rPr>
              <w:t xml:space="preserve">Cena jednostkowa </w:t>
            </w:r>
          </w:p>
        </w:tc>
        <w:tc>
          <w:tcPr>
            <w:tcW w:w="1275" w:type="dxa"/>
            <w:tcBorders>
              <w:top w:val="nil"/>
              <w:left w:val="single" w:sz="4" w:space="0" w:color="auto"/>
              <w:bottom w:val="nil"/>
              <w:right w:val="single" w:sz="8" w:space="0" w:color="auto"/>
            </w:tcBorders>
            <w:vAlign w:val="center"/>
            <w:hideMark/>
          </w:tcPr>
          <w:p w14:paraId="62CE39AE" w14:textId="77777777" w:rsidR="00AE176E" w:rsidRPr="00940422" w:rsidRDefault="00AE176E" w:rsidP="00480F2D">
            <w:pPr>
              <w:rPr>
                <w:lang w:eastAsia="pl-PL"/>
              </w:rPr>
            </w:pPr>
          </w:p>
        </w:tc>
      </w:tr>
      <w:tr w:rsidR="00AE176E" w:rsidRPr="00940422" w14:paraId="698F25B4" w14:textId="77777777" w:rsidTr="006032DF">
        <w:trPr>
          <w:trHeight w:val="276"/>
        </w:trPr>
        <w:tc>
          <w:tcPr>
            <w:tcW w:w="453" w:type="dxa"/>
            <w:tcBorders>
              <w:top w:val="single" w:sz="8" w:space="0" w:color="auto"/>
              <w:left w:val="single" w:sz="8" w:space="0" w:color="auto"/>
              <w:bottom w:val="single" w:sz="8" w:space="0" w:color="auto"/>
              <w:right w:val="single" w:sz="4" w:space="0" w:color="auto"/>
            </w:tcBorders>
            <w:shd w:val="clear" w:color="auto" w:fill="auto"/>
            <w:noWrap/>
            <w:hideMark/>
          </w:tcPr>
          <w:p w14:paraId="1ADF18B5" w14:textId="77777777" w:rsidR="00AE176E" w:rsidRPr="00940422" w:rsidRDefault="00AE176E" w:rsidP="00480F2D">
            <w:pPr>
              <w:rPr>
                <w:lang w:eastAsia="pl-PL"/>
              </w:rPr>
            </w:pPr>
            <w:r w:rsidRPr="00940422">
              <w:rPr>
                <w:lang w:eastAsia="pl-PL"/>
              </w:rPr>
              <w:t>a</w:t>
            </w:r>
          </w:p>
        </w:tc>
        <w:tc>
          <w:tcPr>
            <w:tcW w:w="1276" w:type="dxa"/>
            <w:tcBorders>
              <w:top w:val="single" w:sz="8" w:space="0" w:color="auto"/>
              <w:left w:val="nil"/>
              <w:bottom w:val="single" w:sz="8" w:space="0" w:color="auto"/>
              <w:right w:val="single" w:sz="4" w:space="0" w:color="auto"/>
            </w:tcBorders>
            <w:shd w:val="clear" w:color="auto" w:fill="auto"/>
            <w:noWrap/>
            <w:hideMark/>
          </w:tcPr>
          <w:p w14:paraId="7BC39544" w14:textId="77777777" w:rsidR="00AE176E" w:rsidRPr="00940422" w:rsidRDefault="00AE176E" w:rsidP="00480F2D">
            <w:pPr>
              <w:rPr>
                <w:lang w:eastAsia="pl-PL"/>
              </w:rPr>
            </w:pPr>
            <w:r w:rsidRPr="00940422">
              <w:rPr>
                <w:lang w:eastAsia="pl-PL"/>
              </w:rPr>
              <w:t>b</w:t>
            </w:r>
          </w:p>
        </w:tc>
        <w:tc>
          <w:tcPr>
            <w:tcW w:w="2734" w:type="dxa"/>
            <w:tcBorders>
              <w:top w:val="single" w:sz="8" w:space="0" w:color="auto"/>
              <w:left w:val="nil"/>
              <w:bottom w:val="single" w:sz="8" w:space="0" w:color="auto"/>
              <w:right w:val="nil"/>
            </w:tcBorders>
            <w:shd w:val="clear" w:color="auto" w:fill="auto"/>
            <w:vAlign w:val="center"/>
            <w:hideMark/>
          </w:tcPr>
          <w:p w14:paraId="194256C7" w14:textId="77777777" w:rsidR="00AE176E" w:rsidRPr="00940422" w:rsidRDefault="00AE176E" w:rsidP="00480F2D">
            <w:pPr>
              <w:rPr>
                <w:lang w:eastAsia="pl-PL"/>
              </w:rPr>
            </w:pPr>
            <w:r w:rsidRPr="00940422">
              <w:rPr>
                <w:lang w:eastAsia="pl-PL"/>
              </w:rPr>
              <w:t>c</w:t>
            </w:r>
          </w:p>
        </w:tc>
        <w:tc>
          <w:tcPr>
            <w:tcW w:w="127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107DA8D" w14:textId="77777777" w:rsidR="00AE176E" w:rsidRPr="00940422" w:rsidRDefault="00AE176E" w:rsidP="00480F2D">
            <w:pPr>
              <w:rPr>
                <w:lang w:eastAsia="pl-PL"/>
              </w:rPr>
            </w:pPr>
            <w:r w:rsidRPr="00940422">
              <w:rPr>
                <w:lang w:eastAsia="pl-PL"/>
              </w:rPr>
              <w:t>d</w:t>
            </w:r>
          </w:p>
        </w:tc>
        <w:tc>
          <w:tcPr>
            <w:tcW w:w="1417" w:type="dxa"/>
            <w:tcBorders>
              <w:top w:val="single" w:sz="8" w:space="0" w:color="auto"/>
              <w:left w:val="nil"/>
              <w:bottom w:val="single" w:sz="8" w:space="0" w:color="auto"/>
              <w:right w:val="single" w:sz="4" w:space="0" w:color="auto"/>
            </w:tcBorders>
            <w:shd w:val="clear" w:color="auto" w:fill="auto"/>
            <w:noWrap/>
            <w:vAlign w:val="center"/>
            <w:hideMark/>
          </w:tcPr>
          <w:p w14:paraId="455806EC" w14:textId="77777777" w:rsidR="00AE176E" w:rsidRPr="00940422" w:rsidRDefault="00AE176E" w:rsidP="00480F2D">
            <w:pPr>
              <w:rPr>
                <w:lang w:eastAsia="pl-PL"/>
              </w:rPr>
            </w:pPr>
            <w:r w:rsidRPr="00940422">
              <w:rPr>
                <w:lang w:eastAsia="pl-PL"/>
              </w:rPr>
              <w:t>e</w:t>
            </w:r>
          </w:p>
        </w:tc>
        <w:tc>
          <w:tcPr>
            <w:tcW w:w="1377" w:type="dxa"/>
            <w:tcBorders>
              <w:top w:val="nil"/>
              <w:left w:val="nil"/>
              <w:bottom w:val="single" w:sz="8" w:space="0" w:color="auto"/>
              <w:right w:val="nil"/>
            </w:tcBorders>
            <w:shd w:val="clear" w:color="auto" w:fill="auto"/>
            <w:noWrap/>
            <w:vAlign w:val="center"/>
            <w:hideMark/>
          </w:tcPr>
          <w:p w14:paraId="5D0E724F" w14:textId="77777777" w:rsidR="00AE176E" w:rsidRPr="00940422" w:rsidRDefault="00AE176E" w:rsidP="00480F2D">
            <w:pPr>
              <w:rPr>
                <w:lang w:eastAsia="pl-PL"/>
              </w:rPr>
            </w:pPr>
            <w:r w:rsidRPr="00940422">
              <w:rPr>
                <w:lang w:eastAsia="pl-PL"/>
              </w:rPr>
              <w:t>f</w:t>
            </w:r>
          </w:p>
        </w:tc>
        <w:tc>
          <w:tcPr>
            <w:tcW w:w="1275"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0E443418" w14:textId="77777777" w:rsidR="00AE176E" w:rsidRPr="00940422" w:rsidRDefault="00AE176E" w:rsidP="00480F2D">
            <w:pPr>
              <w:rPr>
                <w:lang w:eastAsia="pl-PL"/>
              </w:rPr>
            </w:pPr>
            <w:r w:rsidRPr="00940422">
              <w:rPr>
                <w:lang w:eastAsia="pl-PL"/>
              </w:rPr>
              <w:t>g</w:t>
            </w:r>
          </w:p>
        </w:tc>
      </w:tr>
      <w:tr w:rsidR="00AE176E" w:rsidRPr="00940422" w14:paraId="1E56982D" w14:textId="77777777" w:rsidTr="006032DF">
        <w:trPr>
          <w:trHeight w:val="518"/>
        </w:trPr>
        <w:tc>
          <w:tcPr>
            <w:tcW w:w="453" w:type="dxa"/>
            <w:tcBorders>
              <w:top w:val="nil"/>
              <w:left w:val="single" w:sz="8" w:space="0" w:color="auto"/>
              <w:bottom w:val="nil"/>
              <w:right w:val="single" w:sz="4" w:space="0" w:color="auto"/>
            </w:tcBorders>
            <w:shd w:val="clear" w:color="auto" w:fill="auto"/>
            <w:noWrap/>
            <w:hideMark/>
          </w:tcPr>
          <w:p w14:paraId="33A651F1" w14:textId="77777777" w:rsidR="00AE176E" w:rsidRPr="00940422" w:rsidRDefault="00AE176E" w:rsidP="00480F2D">
            <w:pPr>
              <w:rPr>
                <w:lang w:eastAsia="pl-PL"/>
              </w:rPr>
            </w:pPr>
            <w:r w:rsidRPr="00940422">
              <w:rPr>
                <w:lang w:eastAsia="pl-PL"/>
              </w:rPr>
              <w:t>1</w:t>
            </w:r>
          </w:p>
        </w:tc>
        <w:tc>
          <w:tcPr>
            <w:tcW w:w="1276" w:type="dxa"/>
            <w:tcBorders>
              <w:top w:val="nil"/>
              <w:left w:val="nil"/>
              <w:bottom w:val="nil"/>
              <w:right w:val="single" w:sz="4" w:space="0" w:color="auto"/>
            </w:tcBorders>
            <w:shd w:val="clear" w:color="auto" w:fill="auto"/>
            <w:noWrap/>
            <w:hideMark/>
          </w:tcPr>
          <w:p w14:paraId="0EA26571" w14:textId="77777777" w:rsidR="00AE176E" w:rsidRPr="00940422" w:rsidRDefault="00AE176E" w:rsidP="00480F2D">
            <w:pPr>
              <w:rPr>
                <w:b/>
                <w:lang w:eastAsia="pl-PL"/>
              </w:rPr>
            </w:pPr>
            <w:r w:rsidRPr="00940422">
              <w:rPr>
                <w:lang w:eastAsia="pl-PL"/>
              </w:rPr>
              <w:t>Np. D.03.00.00.</w:t>
            </w:r>
          </w:p>
        </w:tc>
        <w:tc>
          <w:tcPr>
            <w:tcW w:w="2734" w:type="dxa"/>
            <w:tcBorders>
              <w:top w:val="nil"/>
              <w:left w:val="nil"/>
              <w:bottom w:val="nil"/>
              <w:right w:val="nil"/>
            </w:tcBorders>
            <w:shd w:val="clear" w:color="auto" w:fill="auto"/>
            <w:vAlign w:val="center"/>
            <w:hideMark/>
          </w:tcPr>
          <w:p w14:paraId="071A6031" w14:textId="77777777" w:rsidR="00AE176E" w:rsidRPr="00940422" w:rsidRDefault="00AE176E" w:rsidP="00480F2D">
            <w:pPr>
              <w:rPr>
                <w:b/>
                <w:lang w:eastAsia="pl-PL"/>
              </w:rPr>
            </w:pPr>
            <w:r w:rsidRPr="00940422">
              <w:rPr>
                <w:lang w:eastAsia="pl-PL"/>
              </w:rPr>
              <w:t>Np. odwodnienie</w:t>
            </w:r>
          </w:p>
        </w:tc>
        <w:tc>
          <w:tcPr>
            <w:tcW w:w="1276" w:type="dxa"/>
            <w:tcBorders>
              <w:top w:val="nil"/>
              <w:left w:val="single" w:sz="8" w:space="0" w:color="auto"/>
              <w:bottom w:val="nil"/>
              <w:right w:val="single" w:sz="4" w:space="0" w:color="auto"/>
            </w:tcBorders>
            <w:shd w:val="clear" w:color="auto" w:fill="auto"/>
            <w:noWrap/>
            <w:vAlign w:val="bottom"/>
            <w:hideMark/>
          </w:tcPr>
          <w:p w14:paraId="19E8FDDD" w14:textId="77777777" w:rsidR="00AE176E" w:rsidRPr="00940422" w:rsidRDefault="00AE176E" w:rsidP="00480F2D">
            <w:pPr>
              <w:rPr>
                <w:b/>
                <w:lang w:eastAsia="pl-PL"/>
              </w:rPr>
            </w:pPr>
            <w:proofErr w:type="spellStart"/>
            <w:r w:rsidRPr="00940422">
              <w:rPr>
                <w:lang w:eastAsia="pl-PL"/>
              </w:rPr>
              <w:t>Szt</w:t>
            </w:r>
            <w:proofErr w:type="spellEnd"/>
            <w:r w:rsidRPr="00940422">
              <w:rPr>
                <w:lang w:eastAsia="pl-PL"/>
              </w:rPr>
              <w:t>/</w:t>
            </w:r>
            <w:proofErr w:type="spellStart"/>
            <w:r w:rsidRPr="00940422">
              <w:rPr>
                <w:lang w:eastAsia="pl-PL"/>
              </w:rPr>
              <w:t>mb</w:t>
            </w:r>
            <w:proofErr w:type="spellEnd"/>
            <w:r w:rsidRPr="00940422">
              <w:rPr>
                <w:lang w:eastAsia="pl-PL"/>
              </w:rPr>
              <w:t>/m2</w:t>
            </w:r>
          </w:p>
        </w:tc>
        <w:tc>
          <w:tcPr>
            <w:tcW w:w="1417" w:type="dxa"/>
            <w:tcBorders>
              <w:top w:val="nil"/>
              <w:left w:val="nil"/>
              <w:bottom w:val="nil"/>
              <w:right w:val="nil"/>
            </w:tcBorders>
            <w:shd w:val="clear" w:color="auto" w:fill="auto"/>
            <w:noWrap/>
            <w:vAlign w:val="bottom"/>
            <w:hideMark/>
          </w:tcPr>
          <w:p w14:paraId="1A5FB465" w14:textId="77777777" w:rsidR="00AE176E" w:rsidRPr="00940422" w:rsidRDefault="00AE176E" w:rsidP="00480F2D">
            <w:pPr>
              <w:rPr>
                <w:b/>
                <w:lang w:eastAsia="pl-PL"/>
              </w:rPr>
            </w:pPr>
            <w:r w:rsidRPr="00940422">
              <w:rPr>
                <w:lang w:eastAsia="pl-PL"/>
              </w:rPr>
              <w:t>np. 1,23</w:t>
            </w:r>
          </w:p>
        </w:tc>
        <w:tc>
          <w:tcPr>
            <w:tcW w:w="1377" w:type="dxa"/>
            <w:tcBorders>
              <w:top w:val="nil"/>
              <w:left w:val="single" w:sz="4" w:space="0" w:color="auto"/>
              <w:bottom w:val="nil"/>
              <w:right w:val="nil"/>
            </w:tcBorders>
            <w:shd w:val="clear" w:color="auto" w:fill="auto"/>
            <w:noWrap/>
            <w:vAlign w:val="center"/>
            <w:hideMark/>
          </w:tcPr>
          <w:p w14:paraId="64984781" w14:textId="77777777" w:rsidR="00AE176E" w:rsidRPr="00940422" w:rsidRDefault="00AE176E" w:rsidP="00480F2D">
            <w:pPr>
              <w:rPr>
                <w:b/>
                <w:lang w:eastAsia="pl-PL"/>
              </w:rPr>
            </w:pPr>
            <w:r w:rsidRPr="00940422">
              <w:rPr>
                <w:lang w:eastAsia="pl-PL"/>
              </w:rPr>
              <w:t>np. 100</w:t>
            </w:r>
          </w:p>
        </w:tc>
        <w:tc>
          <w:tcPr>
            <w:tcW w:w="1275" w:type="dxa"/>
            <w:tcBorders>
              <w:top w:val="nil"/>
              <w:left w:val="single" w:sz="4" w:space="0" w:color="auto"/>
              <w:bottom w:val="nil"/>
              <w:right w:val="nil"/>
            </w:tcBorders>
            <w:shd w:val="clear" w:color="auto" w:fill="auto"/>
            <w:noWrap/>
            <w:vAlign w:val="bottom"/>
            <w:hideMark/>
          </w:tcPr>
          <w:p w14:paraId="40FBFE46" w14:textId="77777777" w:rsidR="00AE176E" w:rsidRPr="00940422" w:rsidRDefault="00AE176E" w:rsidP="00480F2D">
            <w:pPr>
              <w:rPr>
                <w:b/>
                <w:lang w:eastAsia="pl-PL"/>
              </w:rPr>
            </w:pPr>
            <w:r w:rsidRPr="00940422">
              <w:rPr>
                <w:lang w:eastAsia="pl-PL"/>
              </w:rPr>
              <w:t>Np. 123</w:t>
            </w:r>
          </w:p>
        </w:tc>
      </w:tr>
      <w:tr w:rsidR="00AE176E" w:rsidRPr="00940422" w14:paraId="758CF4FD" w14:textId="77777777" w:rsidTr="006032DF">
        <w:trPr>
          <w:trHeight w:val="261"/>
        </w:trPr>
        <w:tc>
          <w:tcPr>
            <w:tcW w:w="453" w:type="dxa"/>
            <w:tcBorders>
              <w:top w:val="single" w:sz="8" w:space="0" w:color="auto"/>
              <w:left w:val="single" w:sz="8" w:space="0" w:color="auto"/>
              <w:bottom w:val="single" w:sz="8" w:space="0" w:color="auto"/>
              <w:right w:val="single" w:sz="4" w:space="0" w:color="auto"/>
            </w:tcBorders>
            <w:shd w:val="clear" w:color="auto" w:fill="auto"/>
            <w:noWrap/>
            <w:hideMark/>
          </w:tcPr>
          <w:p w14:paraId="7B18BA87" w14:textId="77777777" w:rsidR="00AE176E" w:rsidRPr="00940422" w:rsidRDefault="00AE176E" w:rsidP="00480F2D">
            <w:pPr>
              <w:rPr>
                <w:lang w:eastAsia="pl-PL"/>
              </w:rPr>
            </w:pPr>
            <w:r w:rsidRPr="00940422">
              <w:rPr>
                <w:lang w:eastAsia="pl-PL"/>
              </w:rPr>
              <w:t> </w:t>
            </w:r>
          </w:p>
        </w:tc>
        <w:tc>
          <w:tcPr>
            <w:tcW w:w="1276" w:type="dxa"/>
            <w:tcBorders>
              <w:top w:val="single" w:sz="8" w:space="0" w:color="auto"/>
              <w:left w:val="nil"/>
              <w:bottom w:val="single" w:sz="8" w:space="0" w:color="auto"/>
              <w:right w:val="single" w:sz="4" w:space="0" w:color="auto"/>
            </w:tcBorders>
            <w:shd w:val="clear" w:color="auto" w:fill="auto"/>
            <w:noWrap/>
            <w:vAlign w:val="bottom"/>
            <w:hideMark/>
          </w:tcPr>
          <w:p w14:paraId="7EB8D87B" w14:textId="77777777" w:rsidR="00AE176E" w:rsidRPr="00940422" w:rsidRDefault="00AE176E" w:rsidP="00480F2D">
            <w:pPr>
              <w:rPr>
                <w:lang w:eastAsia="pl-PL"/>
              </w:rPr>
            </w:pPr>
            <w:r w:rsidRPr="00940422">
              <w:rPr>
                <w:lang w:eastAsia="pl-PL"/>
              </w:rPr>
              <w:t> </w:t>
            </w:r>
          </w:p>
        </w:tc>
        <w:tc>
          <w:tcPr>
            <w:tcW w:w="2734" w:type="dxa"/>
            <w:tcBorders>
              <w:top w:val="single" w:sz="8" w:space="0" w:color="auto"/>
              <w:left w:val="nil"/>
              <w:bottom w:val="single" w:sz="8" w:space="0" w:color="auto"/>
              <w:right w:val="nil"/>
            </w:tcBorders>
            <w:shd w:val="clear" w:color="auto" w:fill="auto"/>
            <w:vAlign w:val="center"/>
            <w:hideMark/>
          </w:tcPr>
          <w:p w14:paraId="1455E83D" w14:textId="77777777" w:rsidR="00AE176E" w:rsidRPr="00940422" w:rsidRDefault="00AE176E" w:rsidP="00480F2D">
            <w:pPr>
              <w:rPr>
                <w:b/>
                <w:lang w:eastAsia="pl-PL"/>
              </w:rPr>
            </w:pPr>
            <w:r w:rsidRPr="00940422">
              <w:rPr>
                <w:lang w:eastAsia="pl-PL"/>
              </w:rPr>
              <w:t>RAZEM</w:t>
            </w:r>
          </w:p>
        </w:tc>
        <w:tc>
          <w:tcPr>
            <w:tcW w:w="1276"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EBB21E2" w14:textId="77777777" w:rsidR="00AE176E" w:rsidRPr="00940422" w:rsidRDefault="00AE176E" w:rsidP="00480F2D">
            <w:pPr>
              <w:rPr>
                <w:lang w:eastAsia="pl-PL"/>
              </w:rPr>
            </w:pPr>
            <w:r w:rsidRPr="00940422">
              <w:rPr>
                <w:lang w:eastAsia="pl-PL"/>
              </w:rPr>
              <w:t>x</w:t>
            </w:r>
          </w:p>
        </w:tc>
        <w:tc>
          <w:tcPr>
            <w:tcW w:w="1417" w:type="dxa"/>
            <w:tcBorders>
              <w:top w:val="single" w:sz="8" w:space="0" w:color="auto"/>
              <w:left w:val="nil"/>
              <w:bottom w:val="single" w:sz="8" w:space="0" w:color="auto"/>
              <w:right w:val="single" w:sz="4" w:space="0" w:color="auto"/>
            </w:tcBorders>
            <w:shd w:val="clear" w:color="auto" w:fill="auto"/>
            <w:noWrap/>
            <w:vAlign w:val="bottom"/>
            <w:hideMark/>
          </w:tcPr>
          <w:p w14:paraId="2C0FBE02" w14:textId="77777777" w:rsidR="00AE176E" w:rsidRPr="00940422" w:rsidRDefault="00AE176E" w:rsidP="00480F2D">
            <w:pPr>
              <w:rPr>
                <w:lang w:eastAsia="pl-PL"/>
              </w:rPr>
            </w:pPr>
            <w:r w:rsidRPr="00940422">
              <w:rPr>
                <w:lang w:eastAsia="pl-PL"/>
              </w:rPr>
              <w:t>x</w:t>
            </w:r>
          </w:p>
        </w:tc>
        <w:tc>
          <w:tcPr>
            <w:tcW w:w="1377" w:type="dxa"/>
            <w:tcBorders>
              <w:top w:val="single" w:sz="8" w:space="0" w:color="auto"/>
              <w:left w:val="nil"/>
              <w:bottom w:val="single" w:sz="8" w:space="0" w:color="auto"/>
              <w:right w:val="nil"/>
            </w:tcBorders>
            <w:shd w:val="clear" w:color="auto" w:fill="auto"/>
            <w:noWrap/>
            <w:vAlign w:val="bottom"/>
            <w:hideMark/>
          </w:tcPr>
          <w:p w14:paraId="72F92392" w14:textId="77777777" w:rsidR="00AE176E" w:rsidRPr="00940422" w:rsidRDefault="00AE176E" w:rsidP="00480F2D">
            <w:pPr>
              <w:rPr>
                <w:lang w:eastAsia="pl-PL"/>
              </w:rPr>
            </w:pPr>
            <w:r w:rsidRPr="00940422">
              <w:rPr>
                <w:lang w:eastAsia="pl-PL"/>
              </w:rPr>
              <w:t>x</w:t>
            </w:r>
          </w:p>
        </w:tc>
        <w:tc>
          <w:tcPr>
            <w:tcW w:w="1275"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5AD697DE" w14:textId="77777777" w:rsidR="00AE176E" w:rsidRPr="00940422" w:rsidRDefault="00AE176E" w:rsidP="00480F2D">
            <w:pPr>
              <w:rPr>
                <w:b/>
                <w:lang w:eastAsia="pl-PL"/>
              </w:rPr>
            </w:pPr>
            <w:r w:rsidRPr="00940422">
              <w:rPr>
                <w:lang w:eastAsia="pl-PL"/>
              </w:rPr>
              <w:t xml:space="preserve">0,00   </w:t>
            </w:r>
          </w:p>
        </w:tc>
      </w:tr>
      <w:tr w:rsidR="00AE176E" w:rsidRPr="00940422" w14:paraId="7C324E92" w14:textId="77777777" w:rsidTr="006032DF">
        <w:trPr>
          <w:trHeight w:val="276"/>
        </w:trPr>
        <w:tc>
          <w:tcPr>
            <w:tcW w:w="4463" w:type="dxa"/>
            <w:gridSpan w:val="3"/>
            <w:tcBorders>
              <w:top w:val="single" w:sz="8" w:space="0" w:color="auto"/>
              <w:left w:val="single" w:sz="8" w:space="0" w:color="auto"/>
              <w:bottom w:val="single" w:sz="8" w:space="0" w:color="auto"/>
              <w:right w:val="nil"/>
            </w:tcBorders>
            <w:shd w:val="clear" w:color="auto" w:fill="auto"/>
            <w:noWrap/>
            <w:vAlign w:val="center"/>
            <w:hideMark/>
          </w:tcPr>
          <w:p w14:paraId="3B9F89D8" w14:textId="77777777" w:rsidR="00AE176E" w:rsidRPr="00940422" w:rsidRDefault="00AE176E" w:rsidP="00480F2D">
            <w:pPr>
              <w:rPr>
                <w:b/>
                <w:lang w:eastAsia="pl-PL"/>
              </w:rPr>
            </w:pPr>
            <w:r w:rsidRPr="00940422">
              <w:rPr>
                <w:lang w:eastAsia="pl-PL"/>
              </w:rPr>
              <w:t>OGÓŁEM</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7277E7BA" w14:textId="77777777" w:rsidR="00AE176E" w:rsidRPr="00940422" w:rsidRDefault="00AE176E" w:rsidP="00480F2D">
            <w:pPr>
              <w:rPr>
                <w:lang w:eastAsia="pl-PL"/>
              </w:rPr>
            </w:pPr>
            <w:r w:rsidRPr="00940422">
              <w:rPr>
                <w:lang w:eastAsia="pl-PL"/>
              </w:rPr>
              <w:t>x</w:t>
            </w:r>
          </w:p>
        </w:tc>
        <w:tc>
          <w:tcPr>
            <w:tcW w:w="1417" w:type="dxa"/>
            <w:tcBorders>
              <w:top w:val="nil"/>
              <w:left w:val="nil"/>
              <w:bottom w:val="single" w:sz="8" w:space="0" w:color="auto"/>
              <w:right w:val="single" w:sz="4" w:space="0" w:color="auto"/>
            </w:tcBorders>
            <w:shd w:val="clear" w:color="auto" w:fill="auto"/>
            <w:noWrap/>
            <w:vAlign w:val="bottom"/>
            <w:hideMark/>
          </w:tcPr>
          <w:p w14:paraId="7D01B69D" w14:textId="77777777" w:rsidR="00AE176E" w:rsidRPr="00940422" w:rsidRDefault="00AE176E" w:rsidP="00480F2D">
            <w:pPr>
              <w:rPr>
                <w:lang w:eastAsia="pl-PL"/>
              </w:rPr>
            </w:pPr>
            <w:r w:rsidRPr="00940422">
              <w:rPr>
                <w:lang w:eastAsia="pl-PL"/>
              </w:rPr>
              <w:t>x</w:t>
            </w:r>
          </w:p>
        </w:tc>
        <w:tc>
          <w:tcPr>
            <w:tcW w:w="1377" w:type="dxa"/>
            <w:tcBorders>
              <w:top w:val="nil"/>
              <w:left w:val="nil"/>
              <w:bottom w:val="single" w:sz="8" w:space="0" w:color="auto"/>
              <w:right w:val="nil"/>
            </w:tcBorders>
            <w:shd w:val="clear" w:color="auto" w:fill="auto"/>
            <w:noWrap/>
            <w:vAlign w:val="bottom"/>
            <w:hideMark/>
          </w:tcPr>
          <w:p w14:paraId="45C7A28A" w14:textId="77777777" w:rsidR="00AE176E" w:rsidRPr="00940422" w:rsidRDefault="00AE176E" w:rsidP="00480F2D">
            <w:pPr>
              <w:rPr>
                <w:lang w:eastAsia="pl-PL"/>
              </w:rPr>
            </w:pPr>
            <w:r w:rsidRPr="00940422">
              <w:rPr>
                <w:lang w:eastAsia="pl-PL"/>
              </w:rPr>
              <w:t>x</w:t>
            </w:r>
          </w:p>
        </w:tc>
        <w:tc>
          <w:tcPr>
            <w:tcW w:w="1275" w:type="dxa"/>
            <w:tcBorders>
              <w:top w:val="nil"/>
              <w:left w:val="single" w:sz="4" w:space="0" w:color="auto"/>
              <w:bottom w:val="single" w:sz="8" w:space="0" w:color="auto"/>
              <w:right w:val="single" w:sz="8" w:space="0" w:color="auto"/>
            </w:tcBorders>
            <w:shd w:val="clear" w:color="auto" w:fill="auto"/>
            <w:noWrap/>
            <w:vAlign w:val="bottom"/>
            <w:hideMark/>
          </w:tcPr>
          <w:p w14:paraId="16B36B91" w14:textId="77777777" w:rsidR="00AE176E" w:rsidRPr="00940422" w:rsidRDefault="00AE176E" w:rsidP="00480F2D">
            <w:pPr>
              <w:rPr>
                <w:b/>
                <w:lang w:eastAsia="pl-PL"/>
              </w:rPr>
            </w:pPr>
            <w:r w:rsidRPr="00940422">
              <w:rPr>
                <w:lang w:eastAsia="pl-PL"/>
              </w:rPr>
              <w:t xml:space="preserve">0,00   </w:t>
            </w:r>
          </w:p>
        </w:tc>
      </w:tr>
    </w:tbl>
    <w:p w14:paraId="30FD4062" w14:textId="77777777" w:rsidR="00AE176E" w:rsidRPr="00940422" w:rsidRDefault="00AE176E" w:rsidP="00480F2D">
      <w:pPr>
        <w:pStyle w:val="Akapitzlist"/>
      </w:pPr>
    </w:p>
    <w:p w14:paraId="7E9BC77D" w14:textId="6323D7B5" w:rsidR="00AE176E" w:rsidRPr="007D597F" w:rsidRDefault="00AE176E" w:rsidP="00480F2D">
      <w:pPr>
        <w:pStyle w:val="Akapitzlist"/>
        <w:numPr>
          <w:ilvl w:val="0"/>
          <w:numId w:val="10"/>
        </w:numPr>
      </w:pPr>
      <w:r w:rsidRPr="007D597F">
        <w:t>liczbę porządkową dla danego działu</w:t>
      </w:r>
      <w:r w:rsidR="000812FE" w:rsidRPr="007D597F">
        <w:rPr>
          <w:lang w:val="pl-PL"/>
        </w:rPr>
        <w:t>,</w:t>
      </w:r>
      <w:r w:rsidRPr="007D597F">
        <w:t xml:space="preserve"> tym samym dla danej pozycji przedmiarowej z danego działu</w:t>
      </w:r>
    </w:p>
    <w:p w14:paraId="39410916" w14:textId="54266FC7" w:rsidR="00AE176E" w:rsidRPr="007D597F" w:rsidRDefault="00AE176E" w:rsidP="00480F2D">
      <w:pPr>
        <w:pStyle w:val="Akapitzlist"/>
        <w:numPr>
          <w:ilvl w:val="0"/>
          <w:numId w:val="10"/>
        </w:numPr>
      </w:pPr>
      <w:r w:rsidRPr="007D597F">
        <w:t>nr</w:t>
      </w:r>
      <w:r w:rsidR="000812FE" w:rsidRPr="007D597F">
        <w:rPr>
          <w:lang w:val="pl-PL"/>
        </w:rPr>
        <w:t>.</w:t>
      </w:r>
      <w:r w:rsidRPr="007D597F">
        <w:t xml:space="preserve"> danej specyfikacji </w:t>
      </w:r>
      <w:r w:rsidR="000812FE" w:rsidRPr="007D597F">
        <w:rPr>
          <w:lang w:val="pl-PL"/>
        </w:rPr>
        <w:t xml:space="preserve">technicznej </w:t>
      </w:r>
      <w:r w:rsidRPr="007D597F">
        <w:t xml:space="preserve">do której odnosi się wykonanie danej czynności </w:t>
      </w:r>
    </w:p>
    <w:p w14:paraId="0F066271" w14:textId="77777777" w:rsidR="00AE176E" w:rsidRPr="007D597F" w:rsidRDefault="00AE176E" w:rsidP="00480F2D">
      <w:pPr>
        <w:pStyle w:val="Akapitzlist"/>
        <w:numPr>
          <w:ilvl w:val="0"/>
          <w:numId w:val="10"/>
        </w:numPr>
      </w:pPr>
      <w:r w:rsidRPr="007D597F">
        <w:t xml:space="preserve">wyszczególnienie z nazwy danego elementu rozliczeniowego, zagregowany (scalony) </w:t>
      </w:r>
    </w:p>
    <w:p w14:paraId="02FB4D8A" w14:textId="77777777" w:rsidR="00AE176E" w:rsidRPr="007D597F" w:rsidRDefault="00AE176E" w:rsidP="00480F2D">
      <w:pPr>
        <w:pStyle w:val="Akapitzlist"/>
        <w:numPr>
          <w:ilvl w:val="0"/>
          <w:numId w:val="10"/>
        </w:numPr>
      </w:pPr>
      <w:r w:rsidRPr="007D597F">
        <w:t xml:space="preserve">jednostka w jakiej jest wyrażony dany element rozliczeniowy np. (szt. , </w:t>
      </w:r>
      <w:proofErr w:type="spellStart"/>
      <w:r w:rsidRPr="007D597F">
        <w:t>kpl</w:t>
      </w:r>
      <w:proofErr w:type="spellEnd"/>
      <w:r w:rsidRPr="007D597F">
        <w:t xml:space="preserve">, </w:t>
      </w:r>
      <w:proofErr w:type="spellStart"/>
      <w:r w:rsidRPr="007D597F">
        <w:t>mb</w:t>
      </w:r>
      <w:proofErr w:type="spellEnd"/>
      <w:r w:rsidRPr="007D597F">
        <w:t>, m2, m3),</w:t>
      </w:r>
    </w:p>
    <w:p w14:paraId="7DDA5B5B" w14:textId="77777777" w:rsidR="00AE176E" w:rsidRPr="007D597F" w:rsidRDefault="00AE176E" w:rsidP="00480F2D">
      <w:pPr>
        <w:pStyle w:val="Akapitzlist"/>
        <w:numPr>
          <w:ilvl w:val="0"/>
          <w:numId w:val="10"/>
        </w:numPr>
      </w:pPr>
      <w:r w:rsidRPr="007D597F">
        <w:t>ilość danego elementu rozliczeniowego, wyrażona z dokładnością do dwóch miejsc po przecinku</w:t>
      </w:r>
    </w:p>
    <w:p w14:paraId="3CEFA30E" w14:textId="77777777" w:rsidR="00AE176E" w:rsidRPr="007D597F" w:rsidRDefault="00AE176E" w:rsidP="00480F2D">
      <w:pPr>
        <w:pStyle w:val="Akapitzlist"/>
        <w:numPr>
          <w:ilvl w:val="0"/>
          <w:numId w:val="10"/>
        </w:numPr>
      </w:pPr>
      <w:r w:rsidRPr="007D597F">
        <w:t>cena jednostkowa wpisana przez Oferenta z dokładnością do dwóch miejsc po przecinku (0-99 groszy),</w:t>
      </w:r>
    </w:p>
    <w:p w14:paraId="504F1758" w14:textId="77777777" w:rsidR="00AE176E" w:rsidRPr="007D597F" w:rsidRDefault="00AE176E" w:rsidP="00480F2D">
      <w:pPr>
        <w:pStyle w:val="Akapitzlist"/>
        <w:numPr>
          <w:ilvl w:val="0"/>
          <w:numId w:val="10"/>
        </w:numPr>
      </w:pPr>
      <w:r w:rsidRPr="007D597F">
        <w:lastRenderedPageBreak/>
        <w:t>zawartość kolumny „g” określającej wartość pozycji wyliczana jest automatycznie jako iloczyn ilości jednostek i wpisanej ceny jednostkowej. Zastosowana formuła musi wyliczać wartość pozycji w zaokrągleniu do maksimum dwóch miejsc po przecinku (0-99 groszy), przy czym wartości do 0,5 gr. pomija się, a wartość 0,5 gr. i wyższą zaokrągla się do pełnego grosza ZAOKR(d1*e1;2).</w:t>
      </w:r>
    </w:p>
    <w:p w14:paraId="053F5AD9" w14:textId="77777777" w:rsidR="00AE176E" w:rsidRPr="00940422" w:rsidRDefault="00AE176E" w:rsidP="00480F2D"/>
    <w:p w14:paraId="6A8CDC12" w14:textId="77777777" w:rsidR="00AE176E" w:rsidRPr="00940422" w:rsidRDefault="00AE176E" w:rsidP="00480F2D"/>
    <w:p w14:paraId="38E382F2" w14:textId="5ABB7604" w:rsidR="00AE176E" w:rsidRPr="001C28B5" w:rsidRDefault="00B76469" w:rsidP="00480F2D">
      <w:pPr>
        <w:rPr>
          <w:b/>
        </w:rPr>
      </w:pPr>
      <w:r w:rsidRPr="001C28B5">
        <w:t xml:space="preserve">5.3. </w:t>
      </w:r>
      <w:r w:rsidR="00AE176E" w:rsidRPr="001C28B5">
        <w:t>Wymagania Zamawiającego dla opracowania specyfikacji technicznych wykonania i odbioru robót budowlanych (</w:t>
      </w:r>
      <w:proofErr w:type="spellStart"/>
      <w:r w:rsidR="00AE176E" w:rsidRPr="001C28B5">
        <w:t>S.T.W.i</w:t>
      </w:r>
      <w:proofErr w:type="spellEnd"/>
      <w:r w:rsidR="00AE176E" w:rsidRPr="001C28B5">
        <w:t xml:space="preserve"> O.R.B.)</w:t>
      </w:r>
    </w:p>
    <w:p w14:paraId="0B2340AE" w14:textId="2612067F" w:rsidR="00AE176E" w:rsidRPr="00940422" w:rsidRDefault="00AE176E" w:rsidP="00480F2D">
      <w:pPr>
        <w:rPr>
          <w:b/>
        </w:rPr>
      </w:pPr>
      <w:r w:rsidRPr="00940422">
        <w:t xml:space="preserve">Zakres i formę specyfikacji technicznych wykonania i odbioru robót budowlanych </w:t>
      </w:r>
      <w:r w:rsidR="00A21C94">
        <w:t>(</w:t>
      </w:r>
      <w:proofErr w:type="spellStart"/>
      <w:r w:rsidR="00A21C94">
        <w:t>STWiORB</w:t>
      </w:r>
      <w:proofErr w:type="spellEnd"/>
      <w:r w:rsidR="00A21C94">
        <w:t xml:space="preserve">) </w:t>
      </w:r>
      <w:r w:rsidRPr="00940422">
        <w:t xml:space="preserve">określa Rozporządzenie Ministra Infrastruktury  z dnia 02 września 2004 r. w sprawie  szczegółowego zakresu i formy dokumentacji projektowej, specyfikacji technicznych wykonania i odbioru robót budowlanych oraz programu funkcjonalno-użytkowego. </w:t>
      </w:r>
    </w:p>
    <w:p w14:paraId="6275009E" w14:textId="77777777" w:rsidR="00AE176E" w:rsidRPr="00940422" w:rsidRDefault="00AE176E" w:rsidP="00480F2D"/>
    <w:p w14:paraId="3DA58A16" w14:textId="77777777" w:rsidR="00AE176E" w:rsidRPr="00940422" w:rsidRDefault="00AE176E" w:rsidP="00480F2D">
      <w:pPr>
        <w:rPr>
          <w:b/>
        </w:rPr>
      </w:pPr>
      <w:r w:rsidRPr="00940422">
        <w:t>Przy opracowywaniu specyfikacji należy uwzględnić poniższe wymagania:</w:t>
      </w:r>
    </w:p>
    <w:p w14:paraId="12AF3BEC" w14:textId="77777777" w:rsidR="00AE176E" w:rsidRPr="00940422" w:rsidRDefault="00AE176E" w:rsidP="00480F2D"/>
    <w:p w14:paraId="679A7C9D" w14:textId="77777777" w:rsidR="00AE176E" w:rsidRPr="00940422" w:rsidRDefault="00AE176E" w:rsidP="00480F2D">
      <w:pPr>
        <w:rPr>
          <w:b/>
          <w:noProof/>
        </w:rPr>
      </w:pPr>
      <w:r w:rsidRPr="00940422">
        <w:rPr>
          <w:noProof/>
        </w:rPr>
        <w:t>1. Treść podstawowych wymagań  zawartych  w części  ogólnej specyfikacji technicznej wykonania i odbioru robót budowlanych w zakresie:</w:t>
      </w:r>
    </w:p>
    <w:p w14:paraId="2CAB6F80" w14:textId="77777777" w:rsidR="00AE176E" w:rsidRPr="00940422" w:rsidRDefault="00AE176E" w:rsidP="00480F2D">
      <w:pPr>
        <w:rPr>
          <w:b/>
          <w:noProof/>
        </w:rPr>
      </w:pPr>
      <w:r w:rsidRPr="00940422">
        <w:rPr>
          <w:noProof/>
        </w:rPr>
        <w:t>- wymagań ogólnych,</w:t>
      </w:r>
    </w:p>
    <w:p w14:paraId="47E13A85" w14:textId="77777777" w:rsidR="00AE176E" w:rsidRPr="00940422" w:rsidRDefault="00AE176E" w:rsidP="00480F2D">
      <w:pPr>
        <w:rPr>
          <w:b/>
          <w:noProof/>
        </w:rPr>
      </w:pPr>
      <w:r w:rsidRPr="00940422">
        <w:rPr>
          <w:noProof/>
        </w:rPr>
        <w:t>- kontroli jakości robót,</w:t>
      </w:r>
    </w:p>
    <w:p w14:paraId="268EE2ED" w14:textId="77777777" w:rsidR="00AE176E" w:rsidRPr="00940422" w:rsidRDefault="00AE176E" w:rsidP="00480F2D">
      <w:pPr>
        <w:rPr>
          <w:b/>
          <w:noProof/>
        </w:rPr>
      </w:pPr>
      <w:r w:rsidRPr="00940422">
        <w:rPr>
          <w:noProof/>
        </w:rPr>
        <w:t>- odbioru robót,</w:t>
      </w:r>
    </w:p>
    <w:p w14:paraId="52A45312" w14:textId="77777777" w:rsidR="00AE176E" w:rsidRPr="00940422" w:rsidRDefault="00AE176E" w:rsidP="00480F2D">
      <w:pPr>
        <w:rPr>
          <w:b/>
          <w:noProof/>
        </w:rPr>
      </w:pPr>
      <w:r w:rsidRPr="00940422">
        <w:rPr>
          <w:noProof/>
        </w:rPr>
        <w:t>- podstaw i sposobu rozliczenia robót,</w:t>
      </w:r>
    </w:p>
    <w:p w14:paraId="0513C37E" w14:textId="77777777" w:rsidR="00AE176E" w:rsidRPr="00940422" w:rsidRDefault="00AE176E" w:rsidP="00480F2D">
      <w:pPr>
        <w:rPr>
          <w:b/>
          <w:noProof/>
        </w:rPr>
      </w:pPr>
      <w:r w:rsidRPr="00940422">
        <w:rPr>
          <w:noProof/>
        </w:rPr>
        <w:t>- prac towarzyszących i robót tymczasowych</w:t>
      </w:r>
    </w:p>
    <w:p w14:paraId="353CEF87" w14:textId="45E2EBF4" w:rsidR="00AE176E" w:rsidRPr="00940422" w:rsidRDefault="00AE176E" w:rsidP="00480F2D">
      <w:pPr>
        <w:rPr>
          <w:b/>
          <w:noProof/>
        </w:rPr>
      </w:pPr>
      <w:r w:rsidRPr="00940422">
        <w:rPr>
          <w:noProof/>
        </w:rPr>
        <w:t>- parametrów zastosowanych materiałów</w:t>
      </w:r>
      <w:r w:rsidR="00525F30">
        <w:rPr>
          <w:noProof/>
        </w:rPr>
        <w:t xml:space="preserve"> </w:t>
      </w:r>
      <w:r w:rsidRPr="00940422">
        <w:rPr>
          <w:noProof/>
        </w:rPr>
        <w:t>należy uzgodnić z Zamawiającym.</w:t>
      </w:r>
    </w:p>
    <w:p w14:paraId="7DBDE016" w14:textId="2265DA9F" w:rsidR="00AE176E" w:rsidRPr="00A21C94" w:rsidRDefault="00AE176E" w:rsidP="00480F2D">
      <w:pPr>
        <w:pStyle w:val="NormalnyWeb"/>
        <w:rPr>
          <w:rFonts w:asciiTheme="minorHAnsi" w:hAnsiTheme="minorHAnsi"/>
          <w:b/>
        </w:rPr>
      </w:pPr>
      <w:r w:rsidRPr="00A21C94">
        <w:rPr>
          <w:rFonts w:asciiTheme="minorHAnsi" w:hAnsiTheme="minorHAnsi"/>
          <w:noProof/>
        </w:rPr>
        <w:t xml:space="preserve">2. W </w:t>
      </w:r>
      <w:r w:rsidRPr="00A21C94">
        <w:rPr>
          <w:rFonts w:asciiTheme="minorHAnsi" w:hAnsiTheme="minorHAnsi"/>
        </w:rPr>
        <w:t>przypadku  korzystania   z ustaleń ogólnych specyfikacji technicznych należy wybierać z OST zalecenia dla rozwiązań realizacyjnych, występujących w dokumentacji projektowej, uaktualniając normy i przepisy zawarte w OST. Wymagania dla nowych rozwiązań technicznych, nie ujętych przez OST, należy opracować na podstawie odpowiednich norm materiałowych i czynnościowych, aprobat technicznych materiałów, wytycznych technicznych i technologicznych opracowanych przez Instytut Badawczy Dróg i Mostów lub inne jednostki naukowo-badawcze oraz wytycznych i zarządzeń GDDP lub GDDKiA.</w:t>
      </w:r>
    </w:p>
    <w:p w14:paraId="784AA838" w14:textId="77777777" w:rsidR="00AE176E" w:rsidRPr="00940422" w:rsidRDefault="00AE176E" w:rsidP="00480F2D">
      <w:pPr>
        <w:rPr>
          <w:b/>
        </w:rPr>
      </w:pPr>
      <w:r w:rsidRPr="00940422">
        <w:t>3. W specyfikacjach technicznych wykonania i odbioru robót budowlanych w części 00 dotyczącej dokumentów odniesienia, określających właściwości jakościowe projektowanych robót należy stosować najnowsze opublikowane normy techniczno-budowlane, ściśle przestrzegając postanowień art. 30 ustawy z dnia 29 stycznia 2004 r. – Prawo zamówień publicznych.</w:t>
      </w:r>
    </w:p>
    <w:p w14:paraId="632472D7" w14:textId="77777777" w:rsidR="00AE176E" w:rsidRPr="00940422" w:rsidRDefault="00AE176E" w:rsidP="00480F2D"/>
    <w:p w14:paraId="08567DBF" w14:textId="77777777" w:rsidR="00AE176E" w:rsidRPr="00940422" w:rsidRDefault="00AE176E" w:rsidP="00480F2D"/>
    <w:p w14:paraId="7922C17B" w14:textId="77777777" w:rsidR="00AE176E" w:rsidRPr="00940422" w:rsidRDefault="00AE176E" w:rsidP="00480F2D"/>
    <w:p w14:paraId="45657542" w14:textId="77777777" w:rsidR="00AE176E" w:rsidRPr="00940422" w:rsidRDefault="00AE176E" w:rsidP="00480F2D"/>
    <w:p w14:paraId="60503C44" w14:textId="77777777" w:rsidR="00AE176E" w:rsidRPr="00940422" w:rsidRDefault="00AE176E" w:rsidP="00480F2D"/>
    <w:p w14:paraId="0124EE00" w14:textId="77777777" w:rsidR="00AE176E" w:rsidRPr="00940422" w:rsidRDefault="00AE176E" w:rsidP="00480F2D"/>
    <w:p w14:paraId="00CB1BB1" w14:textId="77777777" w:rsidR="00AE176E" w:rsidRPr="00940422" w:rsidRDefault="00AE176E" w:rsidP="00480F2D"/>
    <w:bookmarkEnd w:id="11"/>
    <w:bookmarkEnd w:id="12"/>
    <w:p w14:paraId="0AF216CB" w14:textId="77777777" w:rsidR="00AE176E" w:rsidRPr="00940422" w:rsidRDefault="00AE176E" w:rsidP="00480F2D"/>
    <w:sectPr w:rsidR="00AE176E" w:rsidRPr="0094042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61A136" w14:textId="77777777" w:rsidR="00873A62" w:rsidRDefault="00873A62" w:rsidP="00480F2D">
      <w:r>
        <w:separator/>
      </w:r>
    </w:p>
  </w:endnote>
  <w:endnote w:type="continuationSeparator" w:id="0">
    <w:p w14:paraId="4A12017D" w14:textId="77777777" w:rsidR="00873A62" w:rsidRDefault="00873A62" w:rsidP="00480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MT">
    <w:altName w:val="MS Gothic"/>
    <w:panose1 w:val="00000000000000000000"/>
    <w:charset w:val="80"/>
    <w:family w:val="auto"/>
    <w:notTrueType/>
    <w:pitch w:val="default"/>
    <w:sig w:usb0="00000000" w:usb1="08070000" w:usb2="00000010" w:usb3="00000000" w:csb0="00020000" w:csb1="00000000"/>
  </w:font>
  <w:font w:name="CenturyGothic">
    <w:altName w:val="MS Mincho"/>
    <w:panose1 w:val="00000000000000000000"/>
    <w:charset w:val="80"/>
    <w:family w:val="auto"/>
    <w:notTrueType/>
    <w:pitch w:val="default"/>
    <w:sig w:usb0="00000005" w:usb1="08070000" w:usb2="00000010" w:usb3="00000000" w:csb0="00020002" w:csb1="00000000"/>
  </w:font>
  <w:font w:name="Arial-Bold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BD6B8" w14:textId="77777777" w:rsidR="00873A62" w:rsidRDefault="00873A62" w:rsidP="00480F2D">
      <w:r>
        <w:separator/>
      </w:r>
    </w:p>
  </w:footnote>
  <w:footnote w:type="continuationSeparator" w:id="0">
    <w:p w14:paraId="27D306F8" w14:textId="77777777" w:rsidR="00873A62" w:rsidRDefault="00873A62" w:rsidP="00480F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C6ABA" w14:textId="77777777" w:rsidR="00FF6AF9" w:rsidRPr="00840DD2" w:rsidRDefault="00532463" w:rsidP="00480F2D">
    <w:pPr>
      <w:pStyle w:val="Nagwek"/>
    </w:pPr>
    <w:r w:rsidRPr="00840DD2">
      <w:t>Opis Przedmiotu Umowy</w:t>
    </w:r>
  </w:p>
  <w:p w14:paraId="57F79206" w14:textId="3A71DB1F" w:rsidR="00FF6AF9" w:rsidRPr="00840DD2" w:rsidRDefault="00532463" w:rsidP="00480F2D">
    <w:r w:rsidRPr="00840DD2">
      <w:t xml:space="preserve">Nazwa Inwestycji: </w:t>
    </w:r>
    <w:r w:rsidR="00A07432" w:rsidRPr="000D59E6">
      <w:t xml:space="preserve">Budowa chodnika w ul. </w:t>
    </w:r>
    <w:proofErr w:type="spellStart"/>
    <w:r w:rsidR="00A07432" w:rsidRPr="000D59E6">
      <w:t>Morasko</w:t>
    </w:r>
    <w:proofErr w:type="spellEnd"/>
    <w:r w:rsidR="00A07432" w:rsidRPr="000D59E6">
      <w:t xml:space="preserve"> na odcinku od ul. Szklarniowej do ul. Meteorytowej</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C5C5E"/>
    <w:multiLevelType w:val="hybridMultilevel"/>
    <w:tmpl w:val="09C0881E"/>
    <w:lvl w:ilvl="0" w:tplc="0415000F">
      <w:start w:val="1"/>
      <w:numFmt w:val="decimal"/>
      <w:lvlText w:val="%1."/>
      <w:lvlJc w:val="left"/>
      <w:pPr>
        <w:tabs>
          <w:tab w:val="num" w:pos="720"/>
        </w:tabs>
        <w:ind w:left="720" w:hanging="360"/>
      </w:pPr>
    </w:lvl>
    <w:lvl w:ilvl="1" w:tplc="FFDAE49E">
      <w:start w:val="3"/>
      <w:numFmt w:val="decimal"/>
      <w:lvlText w:val="%2"/>
      <w:lvlJc w:val="left"/>
      <w:pPr>
        <w:tabs>
          <w:tab w:val="num" w:pos="1440"/>
        </w:tabs>
        <w:ind w:left="1440" w:hanging="360"/>
      </w:pPr>
    </w:lvl>
    <w:lvl w:ilvl="2" w:tplc="84146408">
      <w:start w:val="3"/>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11673F67"/>
    <w:multiLevelType w:val="hybridMultilevel"/>
    <w:tmpl w:val="2042D0B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36F322A"/>
    <w:multiLevelType w:val="hybridMultilevel"/>
    <w:tmpl w:val="D7BE4BCE"/>
    <w:lvl w:ilvl="0" w:tplc="0415000F">
      <w:start w:val="1"/>
      <w:numFmt w:val="decimal"/>
      <w:lvlText w:val="%1."/>
      <w:lvlJc w:val="left"/>
      <w:pPr>
        <w:tabs>
          <w:tab w:val="num" w:pos="720"/>
        </w:tabs>
        <w:ind w:left="720" w:hanging="360"/>
      </w:pPr>
    </w:lvl>
    <w:lvl w:ilvl="1" w:tplc="6AF6D2C0">
      <w:start w:val="1"/>
      <w:numFmt w:val="lowerLetter"/>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41B0477"/>
    <w:multiLevelType w:val="hybridMultilevel"/>
    <w:tmpl w:val="F8C676FE"/>
    <w:lvl w:ilvl="0" w:tplc="D8200034">
      <w:start w:val="1"/>
      <w:numFmt w:val="bullet"/>
      <w:lvlText w:val="−"/>
      <w:lvlJc w:val="left"/>
      <w:pPr>
        <w:ind w:left="1506" w:hanging="360"/>
      </w:pPr>
      <w:rPr>
        <w:rFonts w:ascii="Times New Roman" w:hAnsi="Times New Roman" w:cs="Times New Roman"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 w15:restartNumberingAfterBreak="0">
    <w:nsid w:val="21F14CD9"/>
    <w:multiLevelType w:val="multilevel"/>
    <w:tmpl w:val="5C826B08"/>
    <w:lvl w:ilvl="0">
      <w:start w:val="1"/>
      <w:numFmt w:val="decimal"/>
      <w:suff w:val="space"/>
      <w:lvlText w:val="%1."/>
      <w:lvlJc w:val="left"/>
      <w:pPr>
        <w:ind w:left="720" w:hanging="360"/>
      </w:pPr>
      <w:rPr>
        <w:rFonts w:ascii="Arial Narrow" w:eastAsia="Times New Roman" w:hAnsi="Arial Narrow" w:cs="Times New Roman"/>
      </w:rPr>
    </w:lvl>
    <w:lvl w:ilvl="1">
      <w:start w:val="1"/>
      <w:numFmt w:val="decimal"/>
      <w:isLgl/>
      <w:suff w:val="space"/>
      <w:lvlText w:val="%1.%2."/>
      <w:lvlJc w:val="left"/>
      <w:pPr>
        <w:ind w:left="1997" w:hanging="720"/>
      </w:pPr>
      <w:rPr>
        <w:rFonts w:hint="default"/>
      </w:rPr>
    </w:lvl>
    <w:lvl w:ilvl="2">
      <w:start w:val="1"/>
      <w:numFmt w:val="decimal"/>
      <w:pStyle w:val="Nagwek3"/>
      <w:isLgl/>
      <w:suff w:val="space"/>
      <w:lvlText w:val="%1.%2.%3."/>
      <w:lvlJc w:val="left"/>
      <w:pPr>
        <w:ind w:left="1080" w:hanging="720"/>
      </w:pPr>
      <w:rPr>
        <w:rFonts w:hint="default"/>
      </w:rPr>
    </w:lvl>
    <w:lvl w:ilvl="3">
      <w:start w:val="1"/>
      <w:numFmt w:val="decimal"/>
      <w:pStyle w:val="Nagwek4"/>
      <w:isLgl/>
      <w:suff w:val="space"/>
      <w:lvlText w:val="%1.%2.%3.%4."/>
      <w:lvlJc w:val="left"/>
      <w:pPr>
        <w:ind w:left="1440" w:hanging="1080"/>
      </w:pPr>
      <w:rPr>
        <w:rFonts w:ascii="Arial Narrow" w:hAnsi="Arial Narrow" w:hint="default"/>
        <w:b w:val="0"/>
        <w:i w:val="0"/>
        <w:caps w:val="0"/>
        <w:strike w:val="0"/>
        <w:dstrike w:val="0"/>
        <w:outline w:val="0"/>
        <w:shadow w:val="0"/>
        <w:emboss w:val="0"/>
        <w:imprint w:val="0"/>
        <w:vanish w:val="0"/>
        <w:color w:val="000000"/>
        <w:sz w:val="24"/>
        <w:vertAlign w:val="baseline"/>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52D6330"/>
    <w:multiLevelType w:val="hybridMultilevel"/>
    <w:tmpl w:val="010C78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54202EA"/>
    <w:multiLevelType w:val="hybridMultilevel"/>
    <w:tmpl w:val="4AE22DA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2B9B15A8"/>
    <w:multiLevelType w:val="hybridMultilevel"/>
    <w:tmpl w:val="6770BF86"/>
    <w:lvl w:ilvl="0" w:tplc="0415000B">
      <w:start w:val="1"/>
      <w:numFmt w:val="bullet"/>
      <w:lvlText w:val=""/>
      <w:lvlJc w:val="left"/>
      <w:pPr>
        <w:ind w:left="720" w:hanging="360"/>
      </w:pPr>
      <w:rPr>
        <w:rFonts w:ascii="Wingdings" w:hAnsi="Wingdings" w:hint="default"/>
      </w:rPr>
    </w:lvl>
    <w:lvl w:ilvl="1" w:tplc="F8EC1364">
      <w:numFmt w:val="bullet"/>
      <w:lvlText w:val=""/>
      <w:lvlJc w:val="left"/>
      <w:pPr>
        <w:ind w:left="1440" w:hanging="360"/>
      </w:pPr>
      <w:rPr>
        <w:rFonts w:ascii="Symbol" w:eastAsiaTheme="minorHAnsi" w:hAnsi="Symbol"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D735AFD"/>
    <w:multiLevelType w:val="hybridMultilevel"/>
    <w:tmpl w:val="F9443584"/>
    <w:lvl w:ilvl="0" w:tplc="8BFCAABE">
      <w:start w:val="1"/>
      <w:numFmt w:val="upperLetter"/>
      <w:lvlText w:val="%1."/>
      <w:lvlJc w:val="left"/>
      <w:pPr>
        <w:tabs>
          <w:tab w:val="num" w:pos="720"/>
        </w:tabs>
        <w:ind w:left="720" w:hanging="360"/>
      </w:pPr>
      <w:rPr>
        <w:b/>
        <w:bCs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ED15678"/>
    <w:multiLevelType w:val="hybridMultilevel"/>
    <w:tmpl w:val="04CC4E2A"/>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37502595"/>
    <w:multiLevelType w:val="hybridMultilevel"/>
    <w:tmpl w:val="6D5AA514"/>
    <w:lvl w:ilvl="0" w:tplc="0415000B">
      <w:start w:val="1"/>
      <w:numFmt w:val="bullet"/>
      <w:lvlText w:val=""/>
      <w:lvlJc w:val="left"/>
      <w:pPr>
        <w:ind w:left="1571" w:hanging="360"/>
      </w:pPr>
      <w:rPr>
        <w:rFonts w:ascii="Wingdings" w:hAnsi="Wingdings" w:hint="default"/>
      </w:rPr>
    </w:lvl>
    <w:lvl w:ilvl="1" w:tplc="FBEC319A">
      <w:start w:val="1"/>
      <w:numFmt w:val="decimal"/>
      <w:lvlText w:val="%2)"/>
      <w:lvlJc w:val="left"/>
      <w:pPr>
        <w:ind w:left="2291" w:hanging="360"/>
      </w:pPr>
      <w:rPr>
        <w:rFonts w:hint="default"/>
      </w:r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11" w15:restartNumberingAfterBreak="0">
    <w:nsid w:val="38D921B7"/>
    <w:multiLevelType w:val="multilevel"/>
    <w:tmpl w:val="811CB6AC"/>
    <w:lvl w:ilvl="0">
      <w:start w:val="4"/>
      <w:numFmt w:val="decimal"/>
      <w:lvlText w:val="%1."/>
      <w:lvlJc w:val="left"/>
      <w:pPr>
        <w:ind w:left="945" w:hanging="360"/>
      </w:pPr>
      <w:rPr>
        <w:rFonts w:hint="default"/>
        <w:lang w:val="pl-PL"/>
      </w:rPr>
    </w:lvl>
    <w:lvl w:ilvl="1">
      <w:start w:val="1"/>
      <w:numFmt w:val="decimal"/>
      <w:isLgl/>
      <w:lvlText w:val="%1.%2."/>
      <w:lvlJc w:val="left"/>
      <w:pPr>
        <w:ind w:left="945" w:hanging="360"/>
      </w:pPr>
      <w:rPr>
        <w:rFonts w:hint="default"/>
        <w:b w:val="0"/>
      </w:rPr>
    </w:lvl>
    <w:lvl w:ilvl="2">
      <w:start w:val="1"/>
      <w:numFmt w:val="decimal"/>
      <w:isLgl/>
      <w:lvlText w:val="%1.%2.%3."/>
      <w:lvlJc w:val="left"/>
      <w:pPr>
        <w:ind w:left="1305" w:hanging="720"/>
      </w:pPr>
      <w:rPr>
        <w:rFonts w:hint="default"/>
        <w:b w:val="0"/>
      </w:rPr>
    </w:lvl>
    <w:lvl w:ilvl="3">
      <w:start w:val="1"/>
      <w:numFmt w:val="decimal"/>
      <w:isLgl/>
      <w:lvlText w:val="%1.%2.%3.%4."/>
      <w:lvlJc w:val="left"/>
      <w:pPr>
        <w:ind w:left="1305" w:hanging="720"/>
      </w:pPr>
      <w:rPr>
        <w:rFonts w:hint="default"/>
        <w:b/>
      </w:rPr>
    </w:lvl>
    <w:lvl w:ilvl="4">
      <w:start w:val="1"/>
      <w:numFmt w:val="decimal"/>
      <w:isLgl/>
      <w:lvlText w:val="%1.%2.%3.%4.%5."/>
      <w:lvlJc w:val="left"/>
      <w:pPr>
        <w:ind w:left="1665" w:hanging="1080"/>
      </w:pPr>
      <w:rPr>
        <w:rFonts w:hint="default"/>
        <w:b/>
      </w:rPr>
    </w:lvl>
    <w:lvl w:ilvl="5">
      <w:start w:val="1"/>
      <w:numFmt w:val="decimal"/>
      <w:isLgl/>
      <w:lvlText w:val="%1.%2.%3.%4.%5.%6."/>
      <w:lvlJc w:val="left"/>
      <w:pPr>
        <w:ind w:left="1665" w:hanging="1080"/>
      </w:pPr>
      <w:rPr>
        <w:rFonts w:hint="default"/>
        <w:b/>
      </w:rPr>
    </w:lvl>
    <w:lvl w:ilvl="6">
      <w:start w:val="1"/>
      <w:numFmt w:val="decimal"/>
      <w:isLgl/>
      <w:lvlText w:val="%1.%2.%3.%4.%5.%6.%7."/>
      <w:lvlJc w:val="left"/>
      <w:pPr>
        <w:ind w:left="1665" w:hanging="1080"/>
      </w:pPr>
      <w:rPr>
        <w:rFonts w:hint="default"/>
        <w:b/>
      </w:rPr>
    </w:lvl>
    <w:lvl w:ilvl="7">
      <w:start w:val="1"/>
      <w:numFmt w:val="decimal"/>
      <w:isLgl/>
      <w:lvlText w:val="%1.%2.%3.%4.%5.%6.%7.%8."/>
      <w:lvlJc w:val="left"/>
      <w:pPr>
        <w:ind w:left="2025" w:hanging="1440"/>
      </w:pPr>
      <w:rPr>
        <w:rFonts w:hint="default"/>
        <w:b/>
      </w:rPr>
    </w:lvl>
    <w:lvl w:ilvl="8">
      <w:start w:val="1"/>
      <w:numFmt w:val="decimal"/>
      <w:isLgl/>
      <w:lvlText w:val="%1.%2.%3.%4.%5.%6.%7.%8.%9."/>
      <w:lvlJc w:val="left"/>
      <w:pPr>
        <w:ind w:left="2025" w:hanging="1440"/>
      </w:pPr>
      <w:rPr>
        <w:rFonts w:hint="default"/>
        <w:b/>
      </w:rPr>
    </w:lvl>
  </w:abstractNum>
  <w:abstractNum w:abstractNumId="12" w15:restartNumberingAfterBreak="0">
    <w:nsid w:val="3C80327E"/>
    <w:multiLevelType w:val="hybridMultilevel"/>
    <w:tmpl w:val="B4C6C41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FF559B7"/>
    <w:multiLevelType w:val="hybridMultilevel"/>
    <w:tmpl w:val="38405C5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46347425"/>
    <w:multiLevelType w:val="multilevel"/>
    <w:tmpl w:val="8CC016F0"/>
    <w:lvl w:ilvl="0">
      <w:start w:val="1"/>
      <w:numFmt w:val="decimal"/>
      <w:pStyle w:val="Nagwek1"/>
      <w:lvlText w:val="%1."/>
      <w:lvlJc w:val="left"/>
      <w:pPr>
        <w:ind w:left="720" w:hanging="360"/>
      </w:pPr>
    </w:lvl>
    <w:lvl w:ilvl="1">
      <w:start w:val="1"/>
      <w:numFmt w:val="decimal"/>
      <w:pStyle w:val="Nagwek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9D41EF5"/>
    <w:multiLevelType w:val="hybridMultilevel"/>
    <w:tmpl w:val="F3E43752"/>
    <w:lvl w:ilvl="0" w:tplc="04090017">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4F942F94"/>
    <w:multiLevelType w:val="hybridMultilevel"/>
    <w:tmpl w:val="E00E1BB4"/>
    <w:lvl w:ilvl="0" w:tplc="B212F1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0E74BB7"/>
    <w:multiLevelType w:val="hybridMultilevel"/>
    <w:tmpl w:val="F9829ACA"/>
    <w:lvl w:ilvl="0" w:tplc="0415000F">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8" w15:restartNumberingAfterBreak="0">
    <w:nsid w:val="619A0981"/>
    <w:multiLevelType w:val="hybridMultilevel"/>
    <w:tmpl w:val="8B7A3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68D7FD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03A37A2"/>
    <w:multiLevelType w:val="hybridMultilevel"/>
    <w:tmpl w:val="E35A948C"/>
    <w:lvl w:ilvl="0" w:tplc="04150011">
      <w:start w:val="1"/>
      <w:numFmt w:val="decimal"/>
      <w:lvlText w:val="%1)"/>
      <w:lvlJc w:val="left"/>
      <w:pPr>
        <w:ind w:left="945" w:hanging="360"/>
      </w:p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21" w15:restartNumberingAfterBreak="0">
    <w:nsid w:val="76BE167F"/>
    <w:multiLevelType w:val="hybridMultilevel"/>
    <w:tmpl w:val="895401C6"/>
    <w:lvl w:ilvl="0" w:tplc="0415000B">
      <w:start w:val="1"/>
      <w:numFmt w:val="bullet"/>
      <w:lvlText w:val=""/>
      <w:lvlJc w:val="left"/>
      <w:pPr>
        <w:ind w:left="786" w:hanging="360"/>
      </w:pPr>
      <w:rPr>
        <w:rFonts w:ascii="Wingdings" w:hAnsi="Wingdings" w:hint="default"/>
        <w:i w:val="0"/>
        <w:i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7A67167F"/>
    <w:multiLevelType w:val="hybridMultilevel"/>
    <w:tmpl w:val="978EC4F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C63E8B"/>
    <w:multiLevelType w:val="hybridMultilevel"/>
    <w:tmpl w:val="282A31A2"/>
    <w:lvl w:ilvl="0" w:tplc="0415000B">
      <w:start w:val="1"/>
      <w:numFmt w:val="bullet"/>
      <w:lvlText w:val=""/>
      <w:lvlJc w:val="left"/>
      <w:pPr>
        <w:ind w:left="945" w:hanging="360"/>
      </w:pPr>
      <w:rPr>
        <w:rFonts w:ascii="Wingdings" w:hAnsi="Wingdings" w:hint="default"/>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24" w15:restartNumberingAfterBreak="0">
    <w:nsid w:val="7D2009D6"/>
    <w:multiLevelType w:val="hybridMultilevel"/>
    <w:tmpl w:val="16B691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0"/>
  </w:num>
  <w:num w:numId="3">
    <w:abstractNumId w:val="6"/>
  </w:num>
  <w:num w:numId="4">
    <w:abstractNumId w:val="9"/>
  </w:num>
  <w:num w:numId="5">
    <w:abstractNumId w:val="21"/>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3"/>
  </w:num>
  <w:num w:numId="12">
    <w:abstractNumId w:val="5"/>
  </w:num>
  <w:num w:numId="13">
    <w:abstractNumId w:val="20"/>
  </w:num>
  <w:num w:numId="14">
    <w:abstractNumId w:val="11"/>
  </w:num>
  <w:num w:numId="15">
    <w:abstractNumId w:val="1"/>
  </w:num>
  <w:num w:numId="16">
    <w:abstractNumId w:val="0"/>
  </w:num>
  <w:num w:numId="17">
    <w:abstractNumId w:val="14"/>
  </w:num>
  <w:num w:numId="18">
    <w:abstractNumId w:val="19"/>
  </w:num>
  <w:num w:numId="19">
    <w:abstractNumId w:val="16"/>
  </w:num>
  <w:num w:numId="20">
    <w:abstractNumId w:val="18"/>
  </w:num>
  <w:num w:numId="21">
    <w:abstractNumId w:val="12"/>
  </w:num>
  <w:num w:numId="22">
    <w:abstractNumId w:val="7"/>
  </w:num>
  <w:num w:numId="23">
    <w:abstractNumId w:val="17"/>
  </w:num>
  <w:num w:numId="24">
    <w:abstractNumId w:val="22"/>
  </w:num>
  <w:num w:numId="25">
    <w:abstractNumId w:val="23"/>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76E"/>
    <w:rsid w:val="000152C5"/>
    <w:rsid w:val="0002172B"/>
    <w:rsid w:val="00021CF9"/>
    <w:rsid w:val="0002322B"/>
    <w:rsid w:val="0002430F"/>
    <w:rsid w:val="00034726"/>
    <w:rsid w:val="000812FE"/>
    <w:rsid w:val="000900E1"/>
    <w:rsid w:val="000A6601"/>
    <w:rsid w:val="000D346B"/>
    <w:rsid w:val="000E5C2A"/>
    <w:rsid w:val="001006DC"/>
    <w:rsid w:val="0011536E"/>
    <w:rsid w:val="001824BC"/>
    <w:rsid w:val="001C28B5"/>
    <w:rsid w:val="002A2399"/>
    <w:rsid w:val="002B7BC6"/>
    <w:rsid w:val="00365EF0"/>
    <w:rsid w:val="00372502"/>
    <w:rsid w:val="003B445B"/>
    <w:rsid w:val="003D1EE7"/>
    <w:rsid w:val="003E05AC"/>
    <w:rsid w:val="003E0DEC"/>
    <w:rsid w:val="003E5700"/>
    <w:rsid w:val="00454126"/>
    <w:rsid w:val="00475CA7"/>
    <w:rsid w:val="00480F2D"/>
    <w:rsid w:val="004C0F2E"/>
    <w:rsid w:val="004F2689"/>
    <w:rsid w:val="00525F30"/>
    <w:rsid w:val="005323E1"/>
    <w:rsid w:val="00532463"/>
    <w:rsid w:val="00543C36"/>
    <w:rsid w:val="00574F12"/>
    <w:rsid w:val="00596C1B"/>
    <w:rsid w:val="005D5A03"/>
    <w:rsid w:val="005F3E87"/>
    <w:rsid w:val="00632B27"/>
    <w:rsid w:val="006523F6"/>
    <w:rsid w:val="00697FA9"/>
    <w:rsid w:val="006C3C6C"/>
    <w:rsid w:val="007955E7"/>
    <w:rsid w:val="007D492F"/>
    <w:rsid w:val="007D4EA6"/>
    <w:rsid w:val="007D597F"/>
    <w:rsid w:val="00813181"/>
    <w:rsid w:val="0081393C"/>
    <w:rsid w:val="00821F19"/>
    <w:rsid w:val="00834AA7"/>
    <w:rsid w:val="00873A62"/>
    <w:rsid w:val="008A5D5A"/>
    <w:rsid w:val="008B7528"/>
    <w:rsid w:val="00905756"/>
    <w:rsid w:val="00905D6C"/>
    <w:rsid w:val="00923984"/>
    <w:rsid w:val="00940422"/>
    <w:rsid w:val="009412DF"/>
    <w:rsid w:val="009443F7"/>
    <w:rsid w:val="0098011D"/>
    <w:rsid w:val="009806F0"/>
    <w:rsid w:val="00995F5B"/>
    <w:rsid w:val="009E261F"/>
    <w:rsid w:val="009F6D37"/>
    <w:rsid w:val="00A07432"/>
    <w:rsid w:val="00A21C94"/>
    <w:rsid w:val="00A241B9"/>
    <w:rsid w:val="00A502FB"/>
    <w:rsid w:val="00A50DDA"/>
    <w:rsid w:val="00A956C3"/>
    <w:rsid w:val="00AB1F7E"/>
    <w:rsid w:val="00AE176E"/>
    <w:rsid w:val="00AF67D7"/>
    <w:rsid w:val="00B74BE1"/>
    <w:rsid w:val="00B76469"/>
    <w:rsid w:val="00B8046D"/>
    <w:rsid w:val="00B876C0"/>
    <w:rsid w:val="00BA00A7"/>
    <w:rsid w:val="00BE42AE"/>
    <w:rsid w:val="00C52A00"/>
    <w:rsid w:val="00C95FE9"/>
    <w:rsid w:val="00CA5DE2"/>
    <w:rsid w:val="00D721C0"/>
    <w:rsid w:val="00DA3036"/>
    <w:rsid w:val="00DA3729"/>
    <w:rsid w:val="00DE638F"/>
    <w:rsid w:val="00DE759B"/>
    <w:rsid w:val="00E169DE"/>
    <w:rsid w:val="00E5462A"/>
    <w:rsid w:val="00E661B3"/>
    <w:rsid w:val="00EA6BB3"/>
    <w:rsid w:val="00EC406E"/>
    <w:rsid w:val="00ED11F1"/>
    <w:rsid w:val="00F007C8"/>
    <w:rsid w:val="00F8630F"/>
    <w:rsid w:val="00FC30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A348E"/>
  <w15:chartTrackingRefBased/>
  <w15:docId w15:val="{A3DAA60D-24C8-4F60-8CEB-6D45E8228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utoRedefine/>
    <w:qFormat/>
    <w:rsid w:val="00480F2D"/>
    <w:pPr>
      <w:spacing w:after="0" w:line="264" w:lineRule="auto"/>
      <w:jc w:val="both"/>
    </w:pPr>
    <w:rPr>
      <w:rFonts w:eastAsia="ArialMT" w:cs="Times New Roman"/>
    </w:rPr>
  </w:style>
  <w:style w:type="paragraph" w:styleId="Nagwek1">
    <w:name w:val="heading 1"/>
    <w:basedOn w:val="Normalny"/>
    <w:next w:val="Normalny"/>
    <w:link w:val="Nagwek1Znak"/>
    <w:autoRedefine/>
    <w:qFormat/>
    <w:rsid w:val="006C3C6C"/>
    <w:pPr>
      <w:numPr>
        <w:numId w:val="17"/>
      </w:numPr>
      <w:spacing w:before="120" w:after="120" w:line="360" w:lineRule="auto"/>
      <w:ind w:left="426" w:hanging="426"/>
      <w:outlineLvl w:val="0"/>
    </w:pPr>
    <w:rPr>
      <w:bCs/>
      <w:sz w:val="24"/>
      <w:szCs w:val="24"/>
      <w:lang w:val="x-none"/>
    </w:rPr>
  </w:style>
  <w:style w:type="paragraph" w:styleId="Nagwek2">
    <w:name w:val="heading 2"/>
    <w:basedOn w:val="Normalny"/>
    <w:next w:val="Normalny"/>
    <w:link w:val="Nagwek2Znak"/>
    <w:autoRedefine/>
    <w:qFormat/>
    <w:rsid w:val="006523F6"/>
    <w:pPr>
      <w:keepNext/>
      <w:numPr>
        <w:ilvl w:val="1"/>
        <w:numId w:val="17"/>
      </w:numPr>
      <w:tabs>
        <w:tab w:val="left" w:pos="284"/>
        <w:tab w:val="left" w:pos="851"/>
        <w:tab w:val="left" w:pos="4536"/>
      </w:tabs>
      <w:spacing w:before="120" w:after="60" w:line="240" w:lineRule="auto"/>
      <w:ind w:left="426" w:hanging="426"/>
      <w:outlineLvl w:val="1"/>
    </w:pPr>
    <w:rPr>
      <w:b/>
      <w:bCs/>
      <w:iCs/>
      <w:lang w:val="x-none"/>
    </w:rPr>
  </w:style>
  <w:style w:type="paragraph" w:styleId="Nagwek3">
    <w:name w:val="heading 3"/>
    <w:basedOn w:val="Normalny"/>
    <w:next w:val="Normalny"/>
    <w:link w:val="Nagwek3Znak"/>
    <w:autoRedefine/>
    <w:qFormat/>
    <w:rsid w:val="00AE176E"/>
    <w:pPr>
      <w:keepNext/>
      <w:numPr>
        <w:ilvl w:val="2"/>
        <w:numId w:val="1"/>
      </w:numPr>
      <w:tabs>
        <w:tab w:val="center" w:pos="5316"/>
        <w:tab w:val="left" w:pos="7776"/>
      </w:tabs>
      <w:spacing w:before="60" w:after="60" w:line="360" w:lineRule="auto"/>
      <w:outlineLvl w:val="2"/>
    </w:pPr>
    <w:rPr>
      <w:b/>
      <w:bCs/>
      <w:szCs w:val="26"/>
      <w:lang w:val="x-none"/>
    </w:rPr>
  </w:style>
  <w:style w:type="paragraph" w:styleId="Nagwek4">
    <w:name w:val="heading 4"/>
    <w:basedOn w:val="Normalny"/>
    <w:next w:val="Normalny"/>
    <w:link w:val="Nagwek4Znak"/>
    <w:unhideWhenUsed/>
    <w:qFormat/>
    <w:rsid w:val="00AE176E"/>
    <w:pPr>
      <w:keepNext/>
      <w:keepLines/>
      <w:numPr>
        <w:ilvl w:val="3"/>
        <w:numId w:val="1"/>
      </w:numPr>
      <w:spacing w:before="200"/>
      <w:outlineLvl w:val="3"/>
    </w:pPr>
    <w:rPr>
      <w:b/>
      <w:bCs/>
      <w:i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C3C6C"/>
    <w:rPr>
      <w:rFonts w:eastAsia="ArialMT" w:cs="Times New Roman"/>
      <w:b/>
      <w:bCs/>
      <w:sz w:val="24"/>
      <w:szCs w:val="24"/>
      <w:lang w:val="x-none"/>
    </w:rPr>
  </w:style>
  <w:style w:type="character" w:customStyle="1" w:styleId="Nagwek2Znak">
    <w:name w:val="Nagłówek 2 Znak"/>
    <w:basedOn w:val="Domylnaczcionkaakapitu"/>
    <w:link w:val="Nagwek2"/>
    <w:rsid w:val="006523F6"/>
    <w:rPr>
      <w:rFonts w:eastAsia="ArialMT" w:cs="Times New Roman"/>
      <w:b/>
      <w:bCs/>
      <w:iCs/>
      <w:lang w:val="x-none"/>
    </w:rPr>
  </w:style>
  <w:style w:type="character" w:customStyle="1" w:styleId="Nagwek3Znak">
    <w:name w:val="Nagłówek 3 Znak"/>
    <w:basedOn w:val="Domylnaczcionkaakapitu"/>
    <w:link w:val="Nagwek3"/>
    <w:rsid w:val="00AE176E"/>
    <w:rPr>
      <w:rFonts w:eastAsia="ArialMT" w:cs="Times New Roman"/>
      <w:b/>
      <w:bCs/>
      <w:sz w:val="20"/>
      <w:szCs w:val="26"/>
      <w:lang w:val="x-none"/>
    </w:rPr>
  </w:style>
  <w:style w:type="character" w:customStyle="1" w:styleId="Nagwek4Znak">
    <w:name w:val="Nagłówek 4 Znak"/>
    <w:basedOn w:val="Domylnaczcionkaakapitu"/>
    <w:link w:val="Nagwek4"/>
    <w:rsid w:val="00AE176E"/>
    <w:rPr>
      <w:rFonts w:eastAsia="ArialMT" w:cs="Times New Roman"/>
      <w:b/>
      <w:bCs/>
      <w:iCs/>
      <w:sz w:val="20"/>
      <w:szCs w:val="20"/>
      <w:lang w:val="x-none"/>
    </w:rPr>
  </w:style>
  <w:style w:type="character" w:styleId="Hipercze">
    <w:name w:val="Hyperlink"/>
    <w:uiPriority w:val="99"/>
    <w:rsid w:val="00AE176E"/>
    <w:rPr>
      <w:color w:val="0000FF"/>
      <w:u w:val="single"/>
    </w:rPr>
  </w:style>
  <w:style w:type="paragraph" w:styleId="Nagwek">
    <w:name w:val="header"/>
    <w:basedOn w:val="Normalny"/>
    <w:link w:val="NagwekZnak"/>
    <w:rsid w:val="00AE176E"/>
    <w:pPr>
      <w:tabs>
        <w:tab w:val="center" w:pos="4703"/>
        <w:tab w:val="right" w:pos="9406"/>
      </w:tabs>
    </w:pPr>
    <w:rPr>
      <w:lang w:val="x-none"/>
    </w:rPr>
  </w:style>
  <w:style w:type="character" w:customStyle="1" w:styleId="NagwekZnak">
    <w:name w:val="Nagłówek Znak"/>
    <w:basedOn w:val="Domylnaczcionkaakapitu"/>
    <w:link w:val="Nagwek"/>
    <w:rsid w:val="00AE176E"/>
    <w:rPr>
      <w:rFonts w:eastAsia="ArialMT" w:cs="Times New Roman"/>
      <w:sz w:val="20"/>
      <w:szCs w:val="20"/>
      <w:lang w:val="x-none"/>
    </w:rPr>
  </w:style>
  <w:style w:type="paragraph" w:styleId="Akapitzlist">
    <w:name w:val="List Paragraph"/>
    <w:basedOn w:val="Normalny"/>
    <w:link w:val="AkapitzlistZnak"/>
    <w:uiPriority w:val="34"/>
    <w:qFormat/>
    <w:rsid w:val="00AE176E"/>
    <w:pPr>
      <w:ind w:left="720"/>
      <w:contextualSpacing/>
    </w:pPr>
    <w:rPr>
      <w:lang w:val="x-none"/>
    </w:rPr>
  </w:style>
  <w:style w:type="paragraph" w:styleId="NormalnyWeb">
    <w:name w:val="Normal (Web)"/>
    <w:basedOn w:val="Normalny"/>
    <w:unhideWhenUsed/>
    <w:rsid w:val="00AE176E"/>
    <w:pPr>
      <w:spacing w:before="100" w:beforeAutospacing="1" w:after="100" w:afterAutospacing="1"/>
    </w:pPr>
    <w:rPr>
      <w:rFonts w:ascii="Times New Roman" w:hAnsi="Times New Roman"/>
      <w:lang w:eastAsia="pl-PL"/>
    </w:rPr>
  </w:style>
  <w:style w:type="character" w:styleId="Uwydatnienie">
    <w:name w:val="Emphasis"/>
    <w:uiPriority w:val="20"/>
    <w:qFormat/>
    <w:rsid w:val="00AE176E"/>
    <w:rPr>
      <w:b/>
      <w:bCs/>
      <w:i w:val="0"/>
      <w:iCs w:val="0"/>
    </w:rPr>
  </w:style>
  <w:style w:type="character" w:customStyle="1" w:styleId="AkapitzlistZnak">
    <w:name w:val="Akapit z listą Znak"/>
    <w:link w:val="Akapitzlist"/>
    <w:uiPriority w:val="34"/>
    <w:rsid w:val="00AE176E"/>
    <w:rPr>
      <w:rFonts w:eastAsia="ArialMT" w:cs="Times New Roman"/>
      <w:sz w:val="20"/>
      <w:szCs w:val="20"/>
      <w:lang w:val="x-none"/>
    </w:rPr>
  </w:style>
  <w:style w:type="character" w:styleId="Odwoaniedokomentarza">
    <w:name w:val="annotation reference"/>
    <w:basedOn w:val="Domylnaczcionkaakapitu"/>
    <w:uiPriority w:val="99"/>
    <w:semiHidden/>
    <w:unhideWhenUsed/>
    <w:rsid w:val="005323E1"/>
    <w:rPr>
      <w:sz w:val="16"/>
      <w:szCs w:val="16"/>
    </w:rPr>
  </w:style>
  <w:style w:type="paragraph" w:styleId="Tekstkomentarza">
    <w:name w:val="annotation text"/>
    <w:basedOn w:val="Normalny"/>
    <w:link w:val="TekstkomentarzaZnak"/>
    <w:uiPriority w:val="99"/>
    <w:unhideWhenUsed/>
    <w:rsid w:val="005323E1"/>
    <w:pPr>
      <w:spacing w:line="240" w:lineRule="auto"/>
    </w:pPr>
  </w:style>
  <w:style w:type="character" w:customStyle="1" w:styleId="TekstkomentarzaZnak">
    <w:name w:val="Tekst komentarza Znak"/>
    <w:basedOn w:val="Domylnaczcionkaakapitu"/>
    <w:link w:val="Tekstkomentarza"/>
    <w:uiPriority w:val="99"/>
    <w:rsid w:val="005323E1"/>
    <w:rPr>
      <w:rFonts w:eastAsia="ArialMT" w:cs="Times New Roman"/>
      <w:sz w:val="20"/>
      <w:szCs w:val="20"/>
    </w:rPr>
  </w:style>
  <w:style w:type="paragraph" w:styleId="Tematkomentarza">
    <w:name w:val="annotation subject"/>
    <w:basedOn w:val="Tekstkomentarza"/>
    <w:next w:val="Tekstkomentarza"/>
    <w:link w:val="TematkomentarzaZnak"/>
    <w:uiPriority w:val="99"/>
    <w:semiHidden/>
    <w:unhideWhenUsed/>
    <w:rsid w:val="005323E1"/>
    <w:rPr>
      <w:b/>
      <w:bCs/>
    </w:rPr>
  </w:style>
  <w:style w:type="character" w:customStyle="1" w:styleId="TematkomentarzaZnak">
    <w:name w:val="Temat komentarza Znak"/>
    <w:basedOn w:val="TekstkomentarzaZnak"/>
    <w:link w:val="Tematkomentarza"/>
    <w:uiPriority w:val="99"/>
    <w:semiHidden/>
    <w:rsid w:val="005323E1"/>
    <w:rPr>
      <w:rFonts w:eastAsia="ArialMT" w:cs="Times New Roman"/>
      <w:b/>
      <w:bCs/>
      <w:sz w:val="20"/>
      <w:szCs w:val="20"/>
    </w:rPr>
  </w:style>
  <w:style w:type="paragraph" w:styleId="Tekstdymka">
    <w:name w:val="Balloon Text"/>
    <w:basedOn w:val="Normalny"/>
    <w:link w:val="TekstdymkaZnak"/>
    <w:uiPriority w:val="99"/>
    <w:semiHidden/>
    <w:unhideWhenUsed/>
    <w:rsid w:val="005323E1"/>
    <w:pPr>
      <w:spacing w:line="240" w:lineRule="auto"/>
    </w:pPr>
    <w:rPr>
      <w:rFonts w:ascii="Times New Roman" w:hAnsi="Times New Roman"/>
      <w:sz w:val="18"/>
      <w:szCs w:val="18"/>
    </w:rPr>
  </w:style>
  <w:style w:type="character" w:customStyle="1" w:styleId="TekstdymkaZnak">
    <w:name w:val="Tekst dymka Znak"/>
    <w:basedOn w:val="Domylnaczcionkaakapitu"/>
    <w:link w:val="Tekstdymka"/>
    <w:uiPriority w:val="99"/>
    <w:semiHidden/>
    <w:rsid w:val="005323E1"/>
    <w:rPr>
      <w:rFonts w:ascii="Times New Roman" w:eastAsia="ArialMT" w:hAnsi="Times New Roman" w:cs="Times New Roman"/>
      <w:sz w:val="18"/>
      <w:szCs w:val="18"/>
    </w:rPr>
  </w:style>
  <w:style w:type="paragraph" w:styleId="Stopka">
    <w:name w:val="footer"/>
    <w:basedOn w:val="Normalny"/>
    <w:link w:val="StopkaZnak"/>
    <w:uiPriority w:val="99"/>
    <w:unhideWhenUsed/>
    <w:rsid w:val="00DA3729"/>
    <w:pPr>
      <w:tabs>
        <w:tab w:val="center" w:pos="4536"/>
        <w:tab w:val="right" w:pos="9072"/>
      </w:tabs>
      <w:spacing w:line="240" w:lineRule="auto"/>
    </w:pPr>
  </w:style>
  <w:style w:type="character" w:customStyle="1" w:styleId="StopkaZnak">
    <w:name w:val="Stopka Znak"/>
    <w:basedOn w:val="Domylnaczcionkaakapitu"/>
    <w:link w:val="Stopka"/>
    <w:uiPriority w:val="99"/>
    <w:rsid w:val="00DA3729"/>
    <w:rPr>
      <w:rFonts w:eastAsia="ArialMT" w:cs="Times New Roman"/>
      <w:b/>
      <w:sz w:val="20"/>
      <w:szCs w:val="20"/>
    </w:rPr>
  </w:style>
  <w:style w:type="character" w:customStyle="1" w:styleId="UnresolvedMention">
    <w:name w:val="Unresolved Mention"/>
    <w:basedOn w:val="Domylnaczcionkaakapitu"/>
    <w:uiPriority w:val="99"/>
    <w:semiHidden/>
    <w:unhideWhenUsed/>
    <w:rsid w:val="000E5C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44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dm.poznan.pl/pl/wytyczne-zdm-do-projektowa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2441</Words>
  <Characters>14648</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Wojtaszek</dc:creator>
  <cp:keywords/>
  <dc:description/>
  <cp:lastModifiedBy>Bartosz Lewandowski</cp:lastModifiedBy>
  <cp:revision>3</cp:revision>
  <dcterms:created xsi:type="dcterms:W3CDTF">2020-03-17T11:09:00Z</dcterms:created>
  <dcterms:modified xsi:type="dcterms:W3CDTF">2020-03-17T12:28:00Z</dcterms:modified>
</cp:coreProperties>
</file>